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A0C" w:rsidRPr="00947C6B" w:rsidRDefault="00947C6B" w:rsidP="00947C6B">
      <w:pPr>
        <w:jc w:val="center"/>
        <w:rPr>
          <w:rFonts w:ascii="Calibri" w:hAnsi="Calibri"/>
          <w:b/>
          <w:sz w:val="28"/>
        </w:rPr>
      </w:pPr>
      <w:r w:rsidRPr="00947C6B">
        <w:rPr>
          <w:rFonts w:ascii="Calibri" w:hAnsi="Calibri" w:hint="eastAsia"/>
          <w:b/>
          <w:sz w:val="28"/>
        </w:rPr>
        <w:t>I</w:t>
      </w:r>
      <w:bookmarkStart w:id="0" w:name="_GoBack"/>
      <w:bookmarkEnd w:id="0"/>
      <w:r w:rsidRPr="00947C6B">
        <w:rPr>
          <w:rFonts w:ascii="Calibri" w:hAnsi="Calibri" w:hint="eastAsia"/>
          <w:b/>
          <w:sz w:val="28"/>
        </w:rPr>
        <w:t xml:space="preserve">nformation on </w:t>
      </w:r>
      <w:r w:rsidR="003E46D3">
        <w:rPr>
          <w:rFonts w:ascii="Calibri" w:hAnsi="Calibri"/>
          <w:b/>
          <w:sz w:val="28"/>
        </w:rPr>
        <w:t xml:space="preserve">2018 </w:t>
      </w:r>
      <w:r w:rsidRPr="00947C6B">
        <w:rPr>
          <w:rFonts w:ascii="Calibri" w:hAnsi="Calibri" w:hint="eastAsia"/>
          <w:b/>
          <w:sz w:val="28"/>
        </w:rPr>
        <w:t>Winter Programs</w:t>
      </w:r>
    </w:p>
    <w:tbl>
      <w:tblPr>
        <w:tblStyle w:val="TableGrid"/>
        <w:tblW w:w="0" w:type="auto"/>
        <w:tblLook w:val="04A0" w:firstRow="1" w:lastRow="0" w:firstColumn="1" w:lastColumn="0" w:noHBand="0" w:noVBand="1"/>
      </w:tblPr>
      <w:tblGrid>
        <w:gridCol w:w="2081"/>
        <w:gridCol w:w="3467"/>
        <w:gridCol w:w="3468"/>
      </w:tblGrid>
      <w:tr w:rsidR="003E46D3" w:rsidRPr="007A6482" w:rsidTr="003E46D3">
        <w:tc>
          <w:tcPr>
            <w:tcW w:w="2081" w:type="dxa"/>
          </w:tcPr>
          <w:p w:rsidR="003E46D3" w:rsidRPr="007A6482" w:rsidRDefault="003E46D3" w:rsidP="003B0DDA">
            <w:pPr>
              <w:jc w:val="left"/>
              <w:rPr>
                <w:rFonts w:ascii="Calibri" w:hAnsi="Calibri"/>
                <w:sz w:val="24"/>
              </w:rPr>
            </w:pPr>
            <w:r w:rsidRPr="007A6482">
              <w:rPr>
                <w:rFonts w:ascii="Calibri" w:hAnsi="Calibri" w:hint="eastAsia"/>
                <w:sz w:val="24"/>
              </w:rPr>
              <w:t>Name of program</w:t>
            </w:r>
          </w:p>
        </w:tc>
        <w:tc>
          <w:tcPr>
            <w:tcW w:w="3467" w:type="dxa"/>
          </w:tcPr>
          <w:p w:rsidR="003E46D3" w:rsidRPr="007A6482" w:rsidRDefault="003E46D3" w:rsidP="003B0DDA">
            <w:pPr>
              <w:jc w:val="left"/>
              <w:rPr>
                <w:rFonts w:ascii="Calibri" w:hAnsi="Calibri"/>
                <w:sz w:val="24"/>
              </w:rPr>
            </w:pPr>
            <w:r>
              <w:rPr>
                <w:rFonts w:ascii="Calibri" w:hAnsi="Calibri"/>
                <w:sz w:val="24"/>
              </w:rPr>
              <w:t>Winter in Maryland (WIM)</w:t>
            </w:r>
          </w:p>
        </w:tc>
        <w:tc>
          <w:tcPr>
            <w:tcW w:w="3468" w:type="dxa"/>
          </w:tcPr>
          <w:p w:rsidR="003E46D3" w:rsidRPr="007A6482" w:rsidRDefault="003E46D3" w:rsidP="003B0DDA">
            <w:pPr>
              <w:jc w:val="left"/>
              <w:rPr>
                <w:rFonts w:ascii="Calibri" w:hAnsi="Calibri"/>
                <w:sz w:val="24"/>
              </w:rPr>
            </w:pPr>
            <w:r>
              <w:rPr>
                <w:rFonts w:ascii="Calibri" w:hAnsi="Calibri"/>
                <w:sz w:val="24"/>
              </w:rPr>
              <w:t>Taste of Towson (TOT)</w:t>
            </w:r>
          </w:p>
        </w:tc>
      </w:tr>
      <w:tr w:rsidR="003E46D3" w:rsidRPr="007A6482" w:rsidTr="003E46D3">
        <w:trPr>
          <w:trHeight w:val="150"/>
        </w:trPr>
        <w:tc>
          <w:tcPr>
            <w:tcW w:w="2081" w:type="dxa"/>
          </w:tcPr>
          <w:p w:rsidR="003E46D3" w:rsidRPr="003E46D3" w:rsidRDefault="003E46D3" w:rsidP="003B0DDA">
            <w:pPr>
              <w:jc w:val="left"/>
              <w:rPr>
                <w:rFonts w:ascii="Calibri" w:hAnsi="Calibri"/>
                <w:sz w:val="24"/>
              </w:rPr>
            </w:pPr>
            <w:r>
              <w:rPr>
                <w:rFonts w:ascii="Calibri" w:hAnsi="Calibri"/>
                <w:sz w:val="24"/>
              </w:rPr>
              <w:t>Program</w:t>
            </w:r>
          </w:p>
          <w:p w:rsidR="003E46D3" w:rsidRPr="007A6482" w:rsidRDefault="003E46D3" w:rsidP="003B0DDA">
            <w:pPr>
              <w:jc w:val="left"/>
              <w:rPr>
                <w:rFonts w:ascii="Calibri" w:hAnsi="Calibri"/>
                <w:sz w:val="24"/>
              </w:rPr>
            </w:pPr>
            <w:r w:rsidRPr="003E46D3">
              <w:rPr>
                <w:rFonts w:ascii="Calibri" w:hAnsi="Calibri"/>
                <w:sz w:val="24"/>
              </w:rPr>
              <w:t>Description</w:t>
            </w:r>
          </w:p>
        </w:tc>
        <w:tc>
          <w:tcPr>
            <w:tcW w:w="3467" w:type="dxa"/>
          </w:tcPr>
          <w:p w:rsidR="003E46D3" w:rsidRPr="007A6482" w:rsidRDefault="003E46D3" w:rsidP="003B0DDA">
            <w:pPr>
              <w:jc w:val="left"/>
              <w:rPr>
                <w:rFonts w:ascii="Calibri" w:hAnsi="Calibri"/>
                <w:sz w:val="24"/>
              </w:rPr>
            </w:pPr>
            <w:r>
              <w:rPr>
                <w:rFonts w:ascii="Calibri" w:hAnsi="Calibri"/>
                <w:sz w:val="24"/>
              </w:rPr>
              <w:t xml:space="preserve">An intensive English language and U.S. culture immersion program, which includes 20+ hours of English instruction each week, trips to nearby cities, community service learning, conversation partners and </w:t>
            </w:r>
            <w:r w:rsidR="00432BAA">
              <w:rPr>
                <w:rFonts w:ascii="Calibri" w:hAnsi="Calibri"/>
                <w:sz w:val="24"/>
              </w:rPr>
              <w:t xml:space="preserve">local </w:t>
            </w:r>
            <w:r>
              <w:rPr>
                <w:rFonts w:ascii="Calibri" w:hAnsi="Calibri"/>
                <w:sz w:val="24"/>
              </w:rPr>
              <w:t>family friendships.</w:t>
            </w:r>
            <w:r>
              <w:rPr>
                <w:rFonts w:ascii="Calibri" w:hAnsi="Calibri"/>
                <w:sz w:val="24"/>
              </w:rPr>
              <w:br/>
              <w:t>F-1 visa required for participants in this program as academic credit is awarded upon completion.</w:t>
            </w:r>
          </w:p>
        </w:tc>
        <w:tc>
          <w:tcPr>
            <w:tcW w:w="3468" w:type="dxa"/>
          </w:tcPr>
          <w:p w:rsidR="003E46D3" w:rsidRDefault="003E46D3" w:rsidP="003B0DDA">
            <w:pPr>
              <w:jc w:val="left"/>
              <w:rPr>
                <w:rFonts w:ascii="Calibri" w:hAnsi="Calibri"/>
                <w:sz w:val="24"/>
              </w:rPr>
            </w:pPr>
            <w:r>
              <w:rPr>
                <w:rFonts w:ascii="Calibri" w:hAnsi="Calibri"/>
                <w:sz w:val="24"/>
              </w:rPr>
              <w:t xml:space="preserve">A program which provides students an overview of higher education in the U.S., and includes English language classes, cultural activity, undergraduate class observations, trips to nearby cities, conversation partners and </w:t>
            </w:r>
            <w:r w:rsidR="00432BAA">
              <w:rPr>
                <w:rFonts w:ascii="Calibri" w:hAnsi="Calibri"/>
                <w:sz w:val="24"/>
              </w:rPr>
              <w:t xml:space="preserve">local </w:t>
            </w:r>
            <w:r>
              <w:rPr>
                <w:rFonts w:ascii="Calibri" w:hAnsi="Calibri"/>
                <w:sz w:val="24"/>
              </w:rPr>
              <w:t>family friendships.</w:t>
            </w:r>
          </w:p>
          <w:p w:rsidR="003E46D3" w:rsidRPr="007A6482" w:rsidRDefault="003E46D3" w:rsidP="003B0DDA">
            <w:pPr>
              <w:jc w:val="left"/>
              <w:rPr>
                <w:rFonts w:ascii="Calibri" w:hAnsi="Calibri"/>
                <w:sz w:val="24"/>
              </w:rPr>
            </w:pPr>
            <w:r>
              <w:rPr>
                <w:rFonts w:ascii="Calibri" w:hAnsi="Calibri"/>
                <w:sz w:val="24"/>
              </w:rPr>
              <w:t>B-1/B-2 (VWP) permitted for participants. Certificate of completion awarded upon completion.</w:t>
            </w:r>
          </w:p>
        </w:tc>
      </w:tr>
      <w:tr w:rsidR="00432BAA" w:rsidRPr="007A6482" w:rsidTr="00353F94">
        <w:trPr>
          <w:trHeight w:val="150"/>
        </w:trPr>
        <w:tc>
          <w:tcPr>
            <w:tcW w:w="2081" w:type="dxa"/>
          </w:tcPr>
          <w:p w:rsidR="00432BAA" w:rsidRPr="007A6482" w:rsidRDefault="00432BAA" w:rsidP="003B0DDA">
            <w:pPr>
              <w:jc w:val="left"/>
              <w:rPr>
                <w:rFonts w:ascii="Calibri" w:hAnsi="Calibri"/>
                <w:sz w:val="24"/>
              </w:rPr>
            </w:pPr>
            <w:r w:rsidRPr="007A6482">
              <w:rPr>
                <w:rFonts w:ascii="Calibri" w:hAnsi="Calibri" w:hint="eastAsia"/>
                <w:sz w:val="24"/>
              </w:rPr>
              <w:t>Program website</w:t>
            </w:r>
          </w:p>
        </w:tc>
        <w:tc>
          <w:tcPr>
            <w:tcW w:w="6935" w:type="dxa"/>
            <w:gridSpan w:val="2"/>
          </w:tcPr>
          <w:p w:rsidR="00432BAA" w:rsidRPr="007A6482" w:rsidRDefault="00AA4E44" w:rsidP="003B0DDA">
            <w:pPr>
              <w:jc w:val="left"/>
              <w:rPr>
                <w:rFonts w:ascii="Calibri" w:hAnsi="Calibri"/>
                <w:sz w:val="24"/>
              </w:rPr>
            </w:pPr>
            <w:hyperlink r:id="rId8" w:history="1">
              <w:r w:rsidR="00432BAA" w:rsidRPr="003316F6">
                <w:rPr>
                  <w:rStyle w:val="Hyperlink"/>
                  <w:rFonts w:ascii="Calibri" w:hAnsi="Calibri"/>
                  <w:sz w:val="24"/>
                </w:rPr>
                <w:t>www.towson.edu/sim</w:t>
              </w:r>
            </w:hyperlink>
          </w:p>
        </w:tc>
      </w:tr>
      <w:tr w:rsidR="00127380" w:rsidRPr="007A6482" w:rsidTr="003E46D3">
        <w:tc>
          <w:tcPr>
            <w:tcW w:w="2081" w:type="dxa"/>
          </w:tcPr>
          <w:p w:rsidR="00127380" w:rsidRPr="007A6482" w:rsidRDefault="00127380" w:rsidP="003B0DDA">
            <w:pPr>
              <w:jc w:val="left"/>
              <w:rPr>
                <w:rFonts w:ascii="Calibri" w:hAnsi="Calibri"/>
                <w:sz w:val="24"/>
              </w:rPr>
            </w:pPr>
            <w:r w:rsidRPr="007A6482">
              <w:rPr>
                <w:rFonts w:ascii="Calibri" w:hAnsi="Calibri" w:hint="eastAsia"/>
                <w:sz w:val="24"/>
              </w:rPr>
              <w:t>Dates of program</w:t>
            </w:r>
          </w:p>
        </w:tc>
        <w:tc>
          <w:tcPr>
            <w:tcW w:w="6935" w:type="dxa"/>
            <w:gridSpan w:val="2"/>
          </w:tcPr>
          <w:p w:rsidR="00127380" w:rsidRDefault="00432BAA" w:rsidP="003B0DDA">
            <w:pPr>
              <w:jc w:val="left"/>
              <w:rPr>
                <w:rFonts w:ascii="Calibri" w:hAnsi="Calibri"/>
                <w:sz w:val="24"/>
              </w:rPr>
            </w:pPr>
            <w:r>
              <w:rPr>
                <w:rFonts w:ascii="Calibri" w:hAnsi="Calibri"/>
                <w:sz w:val="24"/>
              </w:rPr>
              <w:t>4 weeks program: January 27</w:t>
            </w:r>
            <w:r w:rsidRPr="00432BAA">
              <w:rPr>
                <w:rFonts w:ascii="Calibri" w:hAnsi="Calibri"/>
                <w:sz w:val="24"/>
                <w:vertAlign w:val="superscript"/>
              </w:rPr>
              <w:t>th</w:t>
            </w:r>
            <w:r>
              <w:rPr>
                <w:rFonts w:ascii="Calibri" w:hAnsi="Calibri"/>
                <w:sz w:val="24"/>
              </w:rPr>
              <w:t>, 2018 to February 23</w:t>
            </w:r>
            <w:r w:rsidRPr="00432BAA">
              <w:rPr>
                <w:rFonts w:ascii="Calibri" w:hAnsi="Calibri"/>
                <w:sz w:val="24"/>
                <w:vertAlign w:val="superscript"/>
              </w:rPr>
              <w:t>th</w:t>
            </w:r>
            <w:r>
              <w:rPr>
                <w:rFonts w:ascii="Calibri" w:hAnsi="Calibri"/>
                <w:sz w:val="24"/>
              </w:rPr>
              <w:t>, 2018</w:t>
            </w:r>
          </w:p>
          <w:p w:rsidR="003B0DDA" w:rsidRPr="007A6482" w:rsidRDefault="003B0DDA" w:rsidP="003B0DDA">
            <w:pPr>
              <w:jc w:val="left"/>
              <w:rPr>
                <w:rFonts w:ascii="Calibri" w:hAnsi="Calibri"/>
                <w:sz w:val="24"/>
              </w:rPr>
            </w:pPr>
            <w:r>
              <w:rPr>
                <w:rFonts w:ascii="Calibri" w:hAnsi="Calibri"/>
                <w:sz w:val="24"/>
              </w:rPr>
              <w:t>6.5 weeks program: January 10</w:t>
            </w:r>
            <w:r w:rsidRPr="003B0DDA">
              <w:rPr>
                <w:rFonts w:ascii="Calibri" w:hAnsi="Calibri"/>
                <w:sz w:val="24"/>
                <w:vertAlign w:val="superscript"/>
              </w:rPr>
              <w:t>th</w:t>
            </w:r>
            <w:r>
              <w:rPr>
                <w:rFonts w:ascii="Calibri" w:hAnsi="Calibri"/>
                <w:sz w:val="24"/>
              </w:rPr>
              <w:t>, 2018 to February 23th, 2018</w:t>
            </w:r>
          </w:p>
        </w:tc>
      </w:tr>
      <w:tr w:rsidR="0016512A" w:rsidRPr="007A6482" w:rsidTr="003E46D3">
        <w:tc>
          <w:tcPr>
            <w:tcW w:w="2081" w:type="dxa"/>
          </w:tcPr>
          <w:p w:rsidR="0016512A" w:rsidRPr="007A6482" w:rsidRDefault="0016512A" w:rsidP="003B0DDA">
            <w:pPr>
              <w:jc w:val="left"/>
              <w:rPr>
                <w:rFonts w:ascii="Calibri" w:hAnsi="Calibri"/>
                <w:sz w:val="24"/>
              </w:rPr>
            </w:pPr>
            <w:r w:rsidRPr="007A6482">
              <w:rPr>
                <w:rFonts w:ascii="Calibri" w:hAnsi="Calibri" w:hint="eastAsia"/>
                <w:sz w:val="24"/>
              </w:rPr>
              <w:t>Port of arrival</w:t>
            </w:r>
          </w:p>
        </w:tc>
        <w:tc>
          <w:tcPr>
            <w:tcW w:w="6935" w:type="dxa"/>
            <w:gridSpan w:val="2"/>
          </w:tcPr>
          <w:p w:rsidR="0016512A" w:rsidRDefault="003B0DDA" w:rsidP="003B0DDA">
            <w:pPr>
              <w:jc w:val="left"/>
              <w:rPr>
                <w:rFonts w:ascii="Calibri" w:hAnsi="Calibri"/>
                <w:sz w:val="24"/>
              </w:rPr>
            </w:pPr>
            <w:r>
              <w:rPr>
                <w:rFonts w:ascii="Calibri" w:hAnsi="Calibri"/>
                <w:sz w:val="24"/>
              </w:rPr>
              <w:t>4 weeks and 6.5 weeks program will start at Towson University and end in New York City.</w:t>
            </w:r>
          </w:p>
          <w:p w:rsidR="003B0DDA" w:rsidRPr="007A6482" w:rsidRDefault="003B0DDA" w:rsidP="003B0DDA">
            <w:pPr>
              <w:jc w:val="left"/>
              <w:rPr>
                <w:rFonts w:ascii="Calibri" w:hAnsi="Calibri"/>
                <w:sz w:val="24"/>
              </w:rPr>
            </w:pPr>
            <w:r>
              <w:rPr>
                <w:rFonts w:ascii="Calibri" w:hAnsi="Calibri"/>
                <w:sz w:val="24"/>
              </w:rPr>
              <w:t xml:space="preserve">Recommendation: Book airfare to Baltimore Washington International Airport (BWI). If arriving at JFK, take train (Amtrak) </w:t>
            </w:r>
            <w:r w:rsidRPr="009A1465">
              <w:rPr>
                <w:rFonts w:ascii="Calibri" w:hAnsi="Calibri"/>
                <w:b/>
                <w:sz w:val="24"/>
              </w:rPr>
              <w:t>or</w:t>
            </w:r>
            <w:r>
              <w:rPr>
                <w:rFonts w:ascii="Calibri" w:hAnsi="Calibri"/>
                <w:sz w:val="24"/>
              </w:rPr>
              <w:t xml:space="preserve"> bus (</w:t>
            </w:r>
            <w:proofErr w:type="spellStart"/>
            <w:r>
              <w:rPr>
                <w:rFonts w:ascii="Calibri" w:hAnsi="Calibri"/>
                <w:sz w:val="24"/>
              </w:rPr>
              <w:t>MegaBus</w:t>
            </w:r>
            <w:proofErr w:type="spellEnd"/>
            <w:r>
              <w:rPr>
                <w:rFonts w:ascii="Calibri" w:hAnsi="Calibri"/>
                <w:sz w:val="24"/>
              </w:rPr>
              <w:t xml:space="preserve">, Greyhound, </w:t>
            </w:r>
            <w:proofErr w:type="spellStart"/>
            <w:r>
              <w:rPr>
                <w:rFonts w:ascii="Calibri" w:hAnsi="Calibri"/>
                <w:sz w:val="24"/>
              </w:rPr>
              <w:t>Boltbus</w:t>
            </w:r>
            <w:proofErr w:type="spellEnd"/>
            <w:r>
              <w:rPr>
                <w:rFonts w:ascii="Calibri" w:hAnsi="Calibri"/>
                <w:sz w:val="24"/>
              </w:rPr>
              <w:t xml:space="preserve">) to Baltimore Penn Station (train) or Baltimore White Marsh </w:t>
            </w:r>
            <w:proofErr w:type="spellStart"/>
            <w:r>
              <w:rPr>
                <w:rFonts w:ascii="Calibri" w:hAnsi="Calibri"/>
                <w:sz w:val="24"/>
              </w:rPr>
              <w:t>Megabus</w:t>
            </w:r>
            <w:proofErr w:type="spellEnd"/>
            <w:r>
              <w:rPr>
                <w:rFonts w:ascii="Calibri" w:hAnsi="Calibri"/>
                <w:sz w:val="24"/>
              </w:rPr>
              <w:t xml:space="preserve"> stop, Greyhound Baltimore terminal, and </w:t>
            </w:r>
            <w:proofErr w:type="spellStart"/>
            <w:r>
              <w:rPr>
                <w:rFonts w:ascii="Calibri" w:hAnsi="Calibri"/>
                <w:sz w:val="24"/>
              </w:rPr>
              <w:t>Boltbus</w:t>
            </w:r>
            <w:proofErr w:type="spellEnd"/>
            <w:r>
              <w:rPr>
                <w:rFonts w:ascii="Calibri" w:hAnsi="Calibri"/>
                <w:sz w:val="24"/>
              </w:rPr>
              <w:t xml:space="preserve"> Baltimore stop</w:t>
            </w:r>
            <w:r w:rsidR="00BA7102">
              <w:rPr>
                <w:rFonts w:ascii="Calibri" w:hAnsi="Calibri"/>
                <w:sz w:val="24"/>
              </w:rPr>
              <w:t xml:space="preserve"> </w:t>
            </w:r>
            <w:r>
              <w:rPr>
                <w:rFonts w:ascii="Calibri" w:hAnsi="Calibri"/>
                <w:sz w:val="24"/>
              </w:rPr>
              <w:t>(bus)</w:t>
            </w:r>
            <w:r w:rsidR="00BA7102">
              <w:rPr>
                <w:rFonts w:ascii="Calibri" w:hAnsi="Calibri"/>
                <w:sz w:val="24"/>
              </w:rPr>
              <w:t>.</w:t>
            </w:r>
          </w:p>
        </w:tc>
      </w:tr>
      <w:tr w:rsidR="00127380" w:rsidRPr="007A6482" w:rsidTr="003E46D3">
        <w:tc>
          <w:tcPr>
            <w:tcW w:w="2081" w:type="dxa"/>
          </w:tcPr>
          <w:p w:rsidR="00127380" w:rsidRPr="007A6482" w:rsidRDefault="003B0DDA" w:rsidP="003B0DDA">
            <w:pPr>
              <w:jc w:val="left"/>
              <w:rPr>
                <w:rFonts w:ascii="Calibri" w:hAnsi="Calibri"/>
                <w:sz w:val="24"/>
              </w:rPr>
            </w:pPr>
            <w:r>
              <w:rPr>
                <w:rFonts w:ascii="Calibri" w:hAnsi="Calibri"/>
                <w:sz w:val="24"/>
              </w:rPr>
              <w:t xml:space="preserve">Suggested </w:t>
            </w:r>
            <w:r w:rsidR="00127380" w:rsidRPr="007A6482">
              <w:rPr>
                <w:rFonts w:ascii="Calibri" w:hAnsi="Calibri" w:hint="eastAsia"/>
                <w:sz w:val="24"/>
              </w:rPr>
              <w:t>Date</w:t>
            </w:r>
            <w:r>
              <w:rPr>
                <w:rFonts w:ascii="Calibri" w:hAnsi="Calibri"/>
                <w:sz w:val="24"/>
              </w:rPr>
              <w:t>s</w:t>
            </w:r>
            <w:r w:rsidR="00127380" w:rsidRPr="007A6482">
              <w:rPr>
                <w:rFonts w:ascii="Calibri" w:hAnsi="Calibri" w:hint="eastAsia"/>
                <w:sz w:val="24"/>
              </w:rPr>
              <w:t xml:space="preserve"> of arrival</w:t>
            </w:r>
          </w:p>
        </w:tc>
        <w:tc>
          <w:tcPr>
            <w:tcW w:w="6935" w:type="dxa"/>
            <w:gridSpan w:val="2"/>
          </w:tcPr>
          <w:p w:rsidR="00127380" w:rsidRDefault="00695659" w:rsidP="003B0DDA">
            <w:pPr>
              <w:jc w:val="left"/>
              <w:rPr>
                <w:rFonts w:ascii="Calibri" w:hAnsi="Calibri"/>
                <w:sz w:val="24"/>
              </w:rPr>
            </w:pPr>
            <w:r>
              <w:rPr>
                <w:rFonts w:ascii="Calibri" w:hAnsi="Calibri"/>
                <w:sz w:val="24"/>
              </w:rPr>
              <w:t>6.5 weeks program: January 10</w:t>
            </w:r>
            <w:r w:rsidRPr="00695659">
              <w:rPr>
                <w:rFonts w:ascii="Calibri" w:hAnsi="Calibri"/>
                <w:sz w:val="24"/>
                <w:vertAlign w:val="superscript"/>
              </w:rPr>
              <w:t>th</w:t>
            </w:r>
            <w:r>
              <w:rPr>
                <w:rFonts w:ascii="Calibri" w:hAnsi="Calibri"/>
                <w:sz w:val="24"/>
              </w:rPr>
              <w:t>, 2018</w:t>
            </w:r>
          </w:p>
          <w:p w:rsidR="00695659" w:rsidRDefault="00695659" w:rsidP="003B0DDA">
            <w:pPr>
              <w:jc w:val="left"/>
              <w:rPr>
                <w:rFonts w:ascii="Calibri" w:hAnsi="Calibri"/>
                <w:sz w:val="24"/>
              </w:rPr>
            </w:pPr>
            <w:r>
              <w:rPr>
                <w:rFonts w:ascii="Calibri" w:hAnsi="Calibri"/>
                <w:sz w:val="24"/>
              </w:rPr>
              <w:t>4 weeks program: January 27</w:t>
            </w:r>
            <w:r w:rsidRPr="00695659">
              <w:rPr>
                <w:rFonts w:ascii="Calibri" w:hAnsi="Calibri"/>
                <w:sz w:val="24"/>
                <w:vertAlign w:val="superscript"/>
              </w:rPr>
              <w:t>th</w:t>
            </w:r>
            <w:r>
              <w:rPr>
                <w:rFonts w:ascii="Calibri" w:hAnsi="Calibri"/>
                <w:sz w:val="24"/>
              </w:rPr>
              <w:t xml:space="preserve"> or 28</w:t>
            </w:r>
            <w:r w:rsidRPr="00695659">
              <w:rPr>
                <w:rFonts w:ascii="Calibri" w:hAnsi="Calibri"/>
                <w:sz w:val="24"/>
                <w:vertAlign w:val="superscript"/>
              </w:rPr>
              <w:t>th</w:t>
            </w:r>
            <w:r>
              <w:rPr>
                <w:rFonts w:ascii="Calibri" w:hAnsi="Calibri"/>
                <w:sz w:val="24"/>
              </w:rPr>
              <w:t xml:space="preserve"> 2018</w:t>
            </w:r>
          </w:p>
          <w:p w:rsidR="00695659" w:rsidRPr="00695659" w:rsidRDefault="00695659" w:rsidP="00695659">
            <w:pPr>
              <w:jc w:val="left"/>
              <w:rPr>
                <w:rFonts w:ascii="Calibri" w:hAnsi="Calibri"/>
                <w:sz w:val="24"/>
              </w:rPr>
            </w:pPr>
            <w:r>
              <w:rPr>
                <w:rFonts w:ascii="Calibri" w:hAnsi="Calibri"/>
                <w:sz w:val="24"/>
              </w:rPr>
              <w:t xml:space="preserve">*If students want to come in advance, they might check-in earlier and it subject to extra charge.  </w:t>
            </w:r>
          </w:p>
        </w:tc>
      </w:tr>
      <w:tr w:rsidR="00127380" w:rsidRPr="007A6482" w:rsidTr="003E46D3">
        <w:tc>
          <w:tcPr>
            <w:tcW w:w="2081" w:type="dxa"/>
          </w:tcPr>
          <w:p w:rsidR="00127380" w:rsidRPr="007A6482" w:rsidRDefault="0016512A" w:rsidP="003B0DDA">
            <w:pPr>
              <w:jc w:val="left"/>
              <w:rPr>
                <w:rFonts w:ascii="Calibri" w:hAnsi="Calibri"/>
                <w:sz w:val="24"/>
              </w:rPr>
            </w:pPr>
            <w:r w:rsidRPr="007A6482">
              <w:rPr>
                <w:rFonts w:ascii="Calibri" w:hAnsi="Calibri" w:hint="eastAsia"/>
                <w:sz w:val="24"/>
              </w:rPr>
              <w:t>Pickup</w:t>
            </w:r>
            <w:r w:rsidR="005B58E0" w:rsidRPr="007A6482">
              <w:rPr>
                <w:rFonts w:ascii="Calibri" w:hAnsi="Calibri" w:hint="eastAsia"/>
                <w:sz w:val="24"/>
              </w:rPr>
              <w:t>/</w:t>
            </w:r>
            <w:proofErr w:type="spellStart"/>
            <w:r w:rsidR="005B58E0" w:rsidRPr="007A6482">
              <w:rPr>
                <w:rFonts w:ascii="Calibri" w:hAnsi="Calibri" w:hint="eastAsia"/>
                <w:sz w:val="24"/>
              </w:rPr>
              <w:t>dropoff</w:t>
            </w:r>
            <w:proofErr w:type="spellEnd"/>
            <w:r w:rsidRPr="007A6482">
              <w:rPr>
                <w:rFonts w:ascii="Calibri" w:hAnsi="Calibri" w:hint="eastAsia"/>
                <w:sz w:val="24"/>
              </w:rPr>
              <w:t xml:space="preserve"> availability</w:t>
            </w:r>
          </w:p>
        </w:tc>
        <w:tc>
          <w:tcPr>
            <w:tcW w:w="6935" w:type="dxa"/>
            <w:gridSpan w:val="2"/>
          </w:tcPr>
          <w:p w:rsidR="00127380" w:rsidRPr="007A6482" w:rsidRDefault="00BA7102" w:rsidP="003B0DDA">
            <w:pPr>
              <w:jc w:val="left"/>
              <w:rPr>
                <w:rFonts w:ascii="Calibri" w:hAnsi="Calibri"/>
                <w:sz w:val="24"/>
              </w:rPr>
            </w:pPr>
            <w:r>
              <w:rPr>
                <w:rFonts w:ascii="Calibri" w:hAnsi="Calibri"/>
                <w:sz w:val="24"/>
              </w:rPr>
              <w:t>TU will pick students up at the bus stop or BWI airport.</w:t>
            </w:r>
          </w:p>
        </w:tc>
      </w:tr>
      <w:tr w:rsidR="00127380" w:rsidRPr="007A6482" w:rsidTr="003E46D3">
        <w:tc>
          <w:tcPr>
            <w:tcW w:w="2081" w:type="dxa"/>
          </w:tcPr>
          <w:p w:rsidR="00127380" w:rsidRPr="007A6482" w:rsidRDefault="00127380" w:rsidP="003B0DDA">
            <w:pPr>
              <w:jc w:val="left"/>
              <w:rPr>
                <w:rFonts w:ascii="Calibri" w:hAnsi="Calibri"/>
                <w:sz w:val="24"/>
              </w:rPr>
            </w:pPr>
            <w:r w:rsidRPr="007A6482">
              <w:rPr>
                <w:rFonts w:ascii="Calibri" w:hAnsi="Calibri" w:hint="eastAsia"/>
                <w:sz w:val="24"/>
              </w:rPr>
              <w:t>Total program cost</w:t>
            </w:r>
          </w:p>
        </w:tc>
        <w:tc>
          <w:tcPr>
            <w:tcW w:w="6935" w:type="dxa"/>
            <w:gridSpan w:val="2"/>
          </w:tcPr>
          <w:p w:rsidR="00BA7102" w:rsidRPr="00DA42F2" w:rsidRDefault="00BA7102" w:rsidP="00BA7102">
            <w:pPr>
              <w:jc w:val="left"/>
              <w:rPr>
                <w:rFonts w:ascii="Calibri" w:hAnsi="Calibri"/>
                <w:sz w:val="24"/>
              </w:rPr>
            </w:pPr>
            <w:r>
              <w:rPr>
                <w:rFonts w:ascii="Calibri" w:hAnsi="Calibri"/>
                <w:sz w:val="24"/>
              </w:rPr>
              <w:t>4-week:</w:t>
            </w:r>
            <w:r>
              <w:rPr>
                <w:rFonts w:ascii="Calibri" w:hAnsi="Calibri"/>
                <w:sz w:val="24"/>
              </w:rPr>
              <w:tab/>
              <w:t xml:space="preserve">   Original - $3,000  Early bird - $</w:t>
            </w:r>
            <w:r w:rsidRPr="00DA42F2">
              <w:rPr>
                <w:rFonts w:ascii="Calibri" w:hAnsi="Calibri"/>
                <w:sz w:val="24"/>
              </w:rPr>
              <w:t xml:space="preserve">2,850 per participant </w:t>
            </w:r>
            <w:r w:rsidRPr="00DA42F2">
              <w:rPr>
                <w:rFonts w:ascii="Calibri" w:hAnsi="Calibri"/>
                <w:sz w:val="24"/>
              </w:rPr>
              <w:br/>
              <w:t>6.5-week</w:t>
            </w:r>
            <w:r>
              <w:rPr>
                <w:rFonts w:ascii="Calibri" w:hAnsi="Calibri"/>
                <w:sz w:val="24"/>
              </w:rPr>
              <w:t xml:space="preserve">:  Original - $4,875  Early bird - </w:t>
            </w:r>
            <w:r w:rsidRPr="00DA42F2">
              <w:rPr>
                <w:rFonts w:ascii="Calibri" w:hAnsi="Calibri"/>
                <w:sz w:val="24"/>
              </w:rPr>
              <w:t>$4,625 per participant</w:t>
            </w:r>
          </w:p>
          <w:p w:rsidR="00127380" w:rsidRPr="007A6482" w:rsidRDefault="00BA7102" w:rsidP="00BA7102">
            <w:pPr>
              <w:jc w:val="left"/>
              <w:rPr>
                <w:rFonts w:ascii="Calibri" w:hAnsi="Calibri"/>
                <w:sz w:val="24"/>
              </w:rPr>
            </w:pPr>
            <w:r>
              <w:rPr>
                <w:rFonts w:ascii="Calibri" w:hAnsi="Calibri"/>
                <w:sz w:val="24"/>
              </w:rPr>
              <w:t>Note: Pricing above includes early bird discount (5% off, if they apply prior to October 31</w:t>
            </w:r>
            <w:r w:rsidRPr="00811447">
              <w:rPr>
                <w:rFonts w:ascii="Calibri" w:hAnsi="Calibri"/>
                <w:sz w:val="24"/>
              </w:rPr>
              <w:t>, 2017.</w:t>
            </w:r>
            <w:r>
              <w:rPr>
                <w:rFonts w:ascii="Calibri" w:hAnsi="Calibri"/>
                <w:sz w:val="24"/>
              </w:rPr>
              <w:t>) for TU’s partner institutions.</w:t>
            </w:r>
          </w:p>
        </w:tc>
      </w:tr>
      <w:tr w:rsidR="00127380" w:rsidRPr="007A6482" w:rsidTr="003E46D3">
        <w:tc>
          <w:tcPr>
            <w:tcW w:w="2081" w:type="dxa"/>
          </w:tcPr>
          <w:p w:rsidR="00127380" w:rsidRPr="007A6482" w:rsidRDefault="001D5024" w:rsidP="003B0DDA">
            <w:pPr>
              <w:jc w:val="left"/>
              <w:rPr>
                <w:rFonts w:ascii="Calibri" w:hAnsi="Calibri"/>
                <w:sz w:val="24"/>
              </w:rPr>
            </w:pPr>
            <w:r w:rsidRPr="007A6482">
              <w:rPr>
                <w:rFonts w:ascii="Calibri" w:hAnsi="Calibri" w:hint="eastAsia"/>
                <w:sz w:val="24"/>
              </w:rPr>
              <w:t>Insurance</w:t>
            </w:r>
          </w:p>
        </w:tc>
        <w:tc>
          <w:tcPr>
            <w:tcW w:w="6935" w:type="dxa"/>
            <w:gridSpan w:val="2"/>
          </w:tcPr>
          <w:p w:rsidR="00127380" w:rsidRPr="007A6482" w:rsidRDefault="00BA7102" w:rsidP="003B0DDA">
            <w:pPr>
              <w:jc w:val="left"/>
              <w:rPr>
                <w:rFonts w:ascii="Calibri" w:hAnsi="Calibri"/>
                <w:sz w:val="24"/>
              </w:rPr>
            </w:pPr>
            <w:r>
              <w:rPr>
                <w:rFonts w:ascii="Calibri" w:hAnsi="Calibri"/>
                <w:sz w:val="24"/>
              </w:rPr>
              <w:t>Accident/Illness health insurance is included in program cost.</w:t>
            </w:r>
          </w:p>
        </w:tc>
      </w:tr>
      <w:tr w:rsidR="00127380" w:rsidRPr="007A6482" w:rsidTr="003E46D3">
        <w:tc>
          <w:tcPr>
            <w:tcW w:w="2081" w:type="dxa"/>
          </w:tcPr>
          <w:p w:rsidR="00127380" w:rsidRPr="007A6482" w:rsidRDefault="005D682C" w:rsidP="003B0DDA">
            <w:pPr>
              <w:jc w:val="left"/>
              <w:rPr>
                <w:rFonts w:ascii="Calibri" w:hAnsi="Calibri"/>
                <w:sz w:val="24"/>
              </w:rPr>
            </w:pPr>
            <w:r w:rsidRPr="007A6482">
              <w:rPr>
                <w:rFonts w:ascii="Calibri" w:hAnsi="Calibri" w:hint="eastAsia"/>
                <w:sz w:val="24"/>
              </w:rPr>
              <w:t>Textbook cost</w:t>
            </w:r>
          </w:p>
        </w:tc>
        <w:tc>
          <w:tcPr>
            <w:tcW w:w="6935" w:type="dxa"/>
            <w:gridSpan w:val="2"/>
          </w:tcPr>
          <w:p w:rsidR="00127380" w:rsidRPr="007A6482" w:rsidRDefault="00BA7102" w:rsidP="003B0DDA">
            <w:pPr>
              <w:jc w:val="left"/>
              <w:rPr>
                <w:rFonts w:ascii="Calibri" w:hAnsi="Calibri"/>
                <w:sz w:val="24"/>
              </w:rPr>
            </w:pPr>
            <w:r>
              <w:rPr>
                <w:rFonts w:ascii="Calibri" w:hAnsi="Calibri"/>
                <w:sz w:val="24"/>
              </w:rPr>
              <w:t>ESL materials are provided by instructor and are included in program fee. Note that materials from multiple textbooks are utilized.  Students will not have one textbook; professors will provide all materials.</w:t>
            </w:r>
          </w:p>
        </w:tc>
      </w:tr>
      <w:tr w:rsidR="00127380" w:rsidRPr="007A6482" w:rsidTr="003E46D3">
        <w:tc>
          <w:tcPr>
            <w:tcW w:w="2081" w:type="dxa"/>
          </w:tcPr>
          <w:p w:rsidR="00127380" w:rsidRPr="007A6482" w:rsidRDefault="005B4DCD" w:rsidP="003B0DDA">
            <w:pPr>
              <w:jc w:val="left"/>
              <w:rPr>
                <w:rFonts w:ascii="Calibri" w:hAnsi="Calibri"/>
                <w:sz w:val="24"/>
              </w:rPr>
            </w:pPr>
            <w:r w:rsidRPr="007A6482">
              <w:rPr>
                <w:rFonts w:ascii="Calibri" w:hAnsi="Calibri" w:hint="eastAsia"/>
                <w:sz w:val="24"/>
              </w:rPr>
              <w:t>Available meals (please describe)</w:t>
            </w:r>
          </w:p>
        </w:tc>
        <w:tc>
          <w:tcPr>
            <w:tcW w:w="6935" w:type="dxa"/>
            <w:gridSpan w:val="2"/>
          </w:tcPr>
          <w:p w:rsidR="00BA7102" w:rsidRDefault="00695659" w:rsidP="00695659">
            <w:pPr>
              <w:jc w:val="left"/>
              <w:rPr>
                <w:rFonts w:ascii="Calibri" w:hAnsi="Calibri"/>
                <w:sz w:val="24"/>
              </w:rPr>
            </w:pPr>
            <w:r>
              <w:rPr>
                <w:rFonts w:ascii="Calibri" w:hAnsi="Calibri"/>
                <w:sz w:val="24"/>
              </w:rPr>
              <w:t>Buffet lunches are included in the program Monday through Thursday when students are on campus; breakfasts, dinners, and meals during off-campus excursions are not included. And if student participate community service on</w:t>
            </w:r>
            <w:r w:rsidR="00BA7102">
              <w:rPr>
                <w:rFonts w:ascii="Calibri" w:hAnsi="Calibri"/>
                <w:sz w:val="24"/>
              </w:rPr>
              <w:t xml:space="preserve"> Friday, lunch will be provide. </w:t>
            </w:r>
          </w:p>
          <w:p w:rsidR="00127380" w:rsidRPr="007A6482" w:rsidRDefault="00695659" w:rsidP="00695659">
            <w:pPr>
              <w:jc w:val="left"/>
              <w:rPr>
                <w:rFonts w:ascii="Calibri" w:hAnsi="Calibri"/>
                <w:sz w:val="24"/>
              </w:rPr>
            </w:pPr>
            <w:r>
              <w:rPr>
                <w:rFonts w:ascii="Calibri" w:hAnsi="Calibri"/>
                <w:sz w:val="24"/>
              </w:rPr>
              <w:t xml:space="preserve">Note that Towson University provides </w:t>
            </w:r>
            <w:r w:rsidR="00BA7102">
              <w:rPr>
                <w:rFonts w:ascii="Calibri" w:hAnsi="Calibri"/>
                <w:sz w:val="24"/>
              </w:rPr>
              <w:t>transportation (Shuttle bus)</w:t>
            </w:r>
            <w:r>
              <w:rPr>
                <w:rFonts w:ascii="Calibri" w:hAnsi="Calibri"/>
                <w:sz w:val="24"/>
              </w:rPr>
              <w:t xml:space="preserve"> to </w:t>
            </w:r>
            <w:r>
              <w:rPr>
                <w:rFonts w:ascii="Calibri" w:hAnsi="Calibri"/>
                <w:sz w:val="24"/>
              </w:rPr>
              <w:lastRenderedPageBreak/>
              <w:t>a local-area supermarket/shopping mall to purchase food items. (Students stay in the Towson University Marriott Hotel or apartment on campus, which includes a full kitchen, cooking supplies and a variety of other amenities.)</w:t>
            </w:r>
          </w:p>
        </w:tc>
      </w:tr>
      <w:tr w:rsidR="005B4DCD" w:rsidRPr="007A6482" w:rsidTr="003E46D3">
        <w:tc>
          <w:tcPr>
            <w:tcW w:w="2081" w:type="dxa"/>
          </w:tcPr>
          <w:p w:rsidR="005B4DCD" w:rsidRPr="007A6482" w:rsidRDefault="005B4DCD" w:rsidP="003B0DDA">
            <w:pPr>
              <w:jc w:val="left"/>
              <w:rPr>
                <w:rFonts w:ascii="Calibri" w:hAnsi="Calibri"/>
                <w:sz w:val="24"/>
              </w:rPr>
            </w:pPr>
            <w:r w:rsidRPr="007A6482">
              <w:rPr>
                <w:rFonts w:ascii="Calibri" w:hAnsi="Calibri" w:hint="eastAsia"/>
                <w:sz w:val="24"/>
              </w:rPr>
              <w:lastRenderedPageBreak/>
              <w:t>Things students must bring from home</w:t>
            </w:r>
          </w:p>
        </w:tc>
        <w:tc>
          <w:tcPr>
            <w:tcW w:w="6935" w:type="dxa"/>
            <w:gridSpan w:val="2"/>
          </w:tcPr>
          <w:p w:rsidR="00BA7102" w:rsidRPr="001E25E2" w:rsidRDefault="00BA7102" w:rsidP="00BA7102">
            <w:pPr>
              <w:jc w:val="left"/>
              <w:rPr>
                <w:rFonts w:ascii="Calibri" w:hAnsi="Calibri"/>
                <w:sz w:val="24"/>
              </w:rPr>
            </w:pPr>
            <w:r>
              <w:rPr>
                <w:rFonts w:ascii="Calibri" w:hAnsi="Calibri"/>
                <w:sz w:val="24"/>
              </w:rPr>
              <w:t>Required items include: passport, U.S. currency (credit, debit card preferred), and immunization records (</w:t>
            </w:r>
            <w:proofErr w:type="spellStart"/>
            <w:r>
              <w:rPr>
                <w:rFonts w:ascii="Calibri" w:hAnsi="Calibri"/>
                <w:sz w:val="24"/>
              </w:rPr>
              <w:t>Tdap</w:t>
            </w:r>
            <w:proofErr w:type="spellEnd"/>
            <w:r>
              <w:rPr>
                <w:rFonts w:ascii="Calibri" w:hAnsi="Calibri"/>
                <w:sz w:val="24"/>
              </w:rPr>
              <w:t>, MMR), evidence of financial support (bank statement or receipt of payment). Other essential/recommended items include: medical supplies, personal toiletries, comfortable shoes (running/casual), raincoat and/or umbrella, book bag or backpack, pens and pencils, lap-top</w:t>
            </w:r>
            <w:r w:rsidR="00CD1BE4">
              <w:rPr>
                <w:rFonts w:ascii="Calibri" w:hAnsi="Calibri"/>
                <w:sz w:val="24"/>
              </w:rPr>
              <w:t>, phone, camera</w:t>
            </w:r>
            <w:r>
              <w:rPr>
                <w:rFonts w:ascii="Calibri" w:hAnsi="Calibri"/>
                <w:sz w:val="24"/>
              </w:rPr>
              <w:t xml:space="preserve">, sewing kit, traditional clothing representing the Korean culture, photos of family, friends and home, small gifts/souvenirs for U.S. family dinners, and power converters. Note that the average temperature during the month of </w:t>
            </w:r>
            <w:r w:rsidR="00CD1BE4">
              <w:rPr>
                <w:rFonts w:ascii="Calibri" w:hAnsi="Calibri"/>
                <w:sz w:val="24"/>
              </w:rPr>
              <w:t>February</w:t>
            </w:r>
            <w:r>
              <w:rPr>
                <w:rFonts w:ascii="Calibri" w:hAnsi="Calibri"/>
                <w:sz w:val="24"/>
              </w:rPr>
              <w:t xml:space="preserve"> is </w:t>
            </w:r>
            <w:r w:rsidR="00CD1BE4">
              <w:rPr>
                <w:rFonts w:ascii="Calibri" w:hAnsi="Calibri"/>
                <w:sz w:val="24"/>
              </w:rPr>
              <w:t xml:space="preserve">26.1°F to </w:t>
            </w:r>
            <w:r w:rsidR="00CD1BE4" w:rsidRPr="00CD1BE4">
              <w:rPr>
                <w:rFonts w:ascii="Calibri" w:hAnsi="Calibri"/>
                <w:sz w:val="24"/>
              </w:rPr>
              <w:t xml:space="preserve">44.8°F </w:t>
            </w:r>
            <w:r>
              <w:rPr>
                <w:rFonts w:ascii="Calibri" w:hAnsi="Calibri"/>
                <w:sz w:val="24"/>
              </w:rPr>
              <w:t>(</w:t>
            </w:r>
            <w:r w:rsidR="00CD1BE4">
              <w:rPr>
                <w:rFonts w:ascii="Calibri" w:hAnsi="Calibri"/>
                <w:sz w:val="24"/>
              </w:rPr>
              <w:t>-3.3</w:t>
            </w:r>
            <w:r w:rsidR="00CD1BE4" w:rsidRPr="00CD1BE4">
              <w:rPr>
                <w:rFonts w:ascii="Calibri" w:hAnsi="Calibri"/>
                <w:sz w:val="24"/>
              </w:rPr>
              <w:t>°</w:t>
            </w:r>
            <w:r w:rsidR="00CD1BE4">
              <w:rPr>
                <w:rFonts w:ascii="Calibri" w:hAnsi="Calibri"/>
                <w:sz w:val="24"/>
              </w:rPr>
              <w:t>C to 7.1</w:t>
            </w:r>
            <w:r w:rsidR="00CD1BE4" w:rsidRPr="00CD1BE4">
              <w:rPr>
                <w:rFonts w:ascii="Calibri" w:hAnsi="Calibri"/>
                <w:sz w:val="24"/>
              </w:rPr>
              <w:t>°</w:t>
            </w:r>
            <w:r w:rsidR="00CD1BE4">
              <w:rPr>
                <w:rFonts w:ascii="Calibri" w:hAnsi="Calibri"/>
                <w:sz w:val="24"/>
              </w:rPr>
              <w:t>C</w:t>
            </w:r>
            <w:r>
              <w:rPr>
                <w:rFonts w:ascii="Calibri" w:hAnsi="Calibri"/>
                <w:sz w:val="24"/>
              </w:rPr>
              <w:t>)</w:t>
            </w:r>
            <w:r w:rsidR="00CD1BE4">
              <w:rPr>
                <w:rFonts w:ascii="Calibri" w:hAnsi="Calibri"/>
                <w:sz w:val="24"/>
              </w:rPr>
              <w:t xml:space="preserve"> </w:t>
            </w:r>
            <w:r>
              <w:rPr>
                <w:rFonts w:ascii="Calibri" w:hAnsi="Calibri"/>
                <w:sz w:val="24"/>
              </w:rPr>
              <w:t xml:space="preserve">in last year; we suggest that students pack </w:t>
            </w:r>
            <w:r w:rsidR="00CD1BE4">
              <w:rPr>
                <w:rFonts w:ascii="Calibri" w:hAnsi="Calibri"/>
                <w:sz w:val="24"/>
              </w:rPr>
              <w:t>winter</w:t>
            </w:r>
            <w:r>
              <w:rPr>
                <w:rFonts w:ascii="Calibri" w:hAnsi="Calibri"/>
                <w:sz w:val="24"/>
              </w:rPr>
              <w:t>-weather clothing/gear (</w:t>
            </w:r>
            <w:r w:rsidR="00CD1BE4">
              <w:rPr>
                <w:rFonts w:ascii="Calibri" w:hAnsi="Calibri"/>
                <w:sz w:val="24"/>
              </w:rPr>
              <w:t>Fleece Jacket, Down Jacket, Toque, boots etc.</w:t>
            </w:r>
            <w:r>
              <w:rPr>
                <w:rFonts w:ascii="Calibri" w:hAnsi="Calibri"/>
                <w:sz w:val="24"/>
              </w:rPr>
              <w:t>).</w:t>
            </w:r>
          </w:p>
          <w:p w:rsidR="005B4DCD" w:rsidRPr="007A6482" w:rsidRDefault="00BA7102" w:rsidP="00BA7102">
            <w:pPr>
              <w:jc w:val="left"/>
              <w:rPr>
                <w:rFonts w:ascii="Calibri" w:hAnsi="Calibri"/>
                <w:sz w:val="24"/>
              </w:rPr>
            </w:pPr>
            <w:r>
              <w:rPr>
                <w:rFonts w:ascii="Calibri" w:hAnsi="Calibri"/>
                <w:sz w:val="24"/>
              </w:rPr>
              <w:t xml:space="preserve">**Towson University recognizes and embraces cultural diversity – we strongly encourage that students bring cultural artifacts and attire to share with other students, staff and the community.  </w:t>
            </w:r>
          </w:p>
        </w:tc>
      </w:tr>
      <w:tr w:rsidR="005B4DCD" w:rsidRPr="007A6482" w:rsidTr="003E46D3">
        <w:tc>
          <w:tcPr>
            <w:tcW w:w="2081" w:type="dxa"/>
          </w:tcPr>
          <w:p w:rsidR="005B4DCD" w:rsidRPr="007A6482" w:rsidRDefault="00A5707C" w:rsidP="003B0DDA">
            <w:pPr>
              <w:jc w:val="left"/>
              <w:rPr>
                <w:rFonts w:ascii="Calibri" w:hAnsi="Calibri"/>
                <w:sz w:val="24"/>
              </w:rPr>
            </w:pPr>
            <w:r w:rsidRPr="007A6482">
              <w:rPr>
                <w:rFonts w:ascii="Calibri" w:hAnsi="Calibri" w:hint="eastAsia"/>
                <w:sz w:val="24"/>
              </w:rPr>
              <w:t>Link to application form</w:t>
            </w:r>
          </w:p>
        </w:tc>
        <w:tc>
          <w:tcPr>
            <w:tcW w:w="6935" w:type="dxa"/>
            <w:gridSpan w:val="2"/>
          </w:tcPr>
          <w:p w:rsidR="005B4DCD" w:rsidRPr="007A6482" w:rsidRDefault="00AA4E44" w:rsidP="003B0DDA">
            <w:pPr>
              <w:jc w:val="left"/>
              <w:rPr>
                <w:rFonts w:ascii="Calibri" w:hAnsi="Calibri"/>
                <w:sz w:val="24"/>
              </w:rPr>
            </w:pPr>
            <w:hyperlink r:id="rId9" w:history="1">
              <w:r w:rsidR="00695659" w:rsidRPr="003836AD">
                <w:rPr>
                  <w:rStyle w:val="Hyperlink"/>
                </w:rPr>
                <w:t>www.towson.edu/academics/international/shortterm/summer/apply.html</w:t>
              </w:r>
            </w:hyperlink>
          </w:p>
        </w:tc>
      </w:tr>
      <w:tr w:rsidR="00FD7D2B" w:rsidRPr="007A6482" w:rsidTr="003E46D3">
        <w:tc>
          <w:tcPr>
            <w:tcW w:w="2081" w:type="dxa"/>
          </w:tcPr>
          <w:p w:rsidR="00FD7D2B" w:rsidRPr="007A6482" w:rsidRDefault="00A5707C" w:rsidP="003B0DDA">
            <w:pPr>
              <w:jc w:val="left"/>
              <w:rPr>
                <w:rFonts w:ascii="Calibri" w:hAnsi="Calibri"/>
                <w:sz w:val="24"/>
              </w:rPr>
            </w:pPr>
            <w:r w:rsidRPr="007A6482">
              <w:rPr>
                <w:rFonts w:ascii="Calibri" w:hAnsi="Calibri" w:hint="eastAsia"/>
                <w:sz w:val="24"/>
              </w:rPr>
              <w:t>Online application availability</w:t>
            </w:r>
          </w:p>
        </w:tc>
        <w:tc>
          <w:tcPr>
            <w:tcW w:w="6935" w:type="dxa"/>
            <w:gridSpan w:val="2"/>
          </w:tcPr>
          <w:p w:rsidR="00FD7D2B" w:rsidRPr="007A6482" w:rsidRDefault="00695659" w:rsidP="003B0DDA">
            <w:pPr>
              <w:jc w:val="left"/>
              <w:rPr>
                <w:rFonts w:ascii="Calibri" w:hAnsi="Calibri"/>
                <w:sz w:val="24"/>
              </w:rPr>
            </w:pPr>
            <w:r>
              <w:rPr>
                <w:rFonts w:ascii="Calibri" w:hAnsi="Calibri"/>
                <w:sz w:val="24"/>
              </w:rPr>
              <w:t xml:space="preserve">The application is available online in fillable PDF format.  Once completed, the application, financial documentation and Pre-arrival Immunization Form can be submitted electronically to </w:t>
            </w:r>
            <w:hyperlink r:id="rId10" w:history="1">
              <w:r w:rsidRPr="00FB0996">
                <w:rPr>
                  <w:rStyle w:val="Hyperlink"/>
                  <w:rFonts w:ascii="Calibri" w:hAnsi="Calibri"/>
                  <w:sz w:val="24"/>
                </w:rPr>
                <w:t>sip@towson.edu</w:t>
              </w:r>
            </w:hyperlink>
            <w:r>
              <w:rPr>
                <w:rFonts w:ascii="Calibri" w:hAnsi="Calibri"/>
                <w:sz w:val="24"/>
              </w:rPr>
              <w:t>.</w:t>
            </w:r>
          </w:p>
        </w:tc>
      </w:tr>
      <w:tr w:rsidR="00ED2AB0" w:rsidRPr="007A6482" w:rsidTr="003E46D3">
        <w:tc>
          <w:tcPr>
            <w:tcW w:w="2081" w:type="dxa"/>
          </w:tcPr>
          <w:p w:rsidR="00ED2AB0" w:rsidRPr="007A6482" w:rsidRDefault="00ED2AB0" w:rsidP="003B0DDA">
            <w:pPr>
              <w:jc w:val="left"/>
              <w:rPr>
                <w:rFonts w:ascii="Calibri" w:hAnsi="Calibri"/>
                <w:sz w:val="24"/>
              </w:rPr>
            </w:pPr>
            <w:r w:rsidRPr="007A6482">
              <w:rPr>
                <w:rFonts w:ascii="Calibri" w:hAnsi="Calibri" w:hint="eastAsia"/>
                <w:sz w:val="24"/>
              </w:rPr>
              <w:t>Application deadline</w:t>
            </w:r>
          </w:p>
        </w:tc>
        <w:tc>
          <w:tcPr>
            <w:tcW w:w="6935" w:type="dxa"/>
            <w:gridSpan w:val="2"/>
          </w:tcPr>
          <w:p w:rsidR="00ED2AB0" w:rsidRPr="007A6482" w:rsidRDefault="00BA7102" w:rsidP="00BA7102">
            <w:pPr>
              <w:jc w:val="left"/>
              <w:rPr>
                <w:rFonts w:ascii="Calibri" w:hAnsi="Calibri"/>
                <w:sz w:val="24"/>
              </w:rPr>
            </w:pPr>
            <w:r>
              <w:rPr>
                <w:rFonts w:ascii="Calibri" w:hAnsi="Calibri"/>
                <w:sz w:val="24"/>
              </w:rPr>
              <w:t>Application deadline is November 30</w:t>
            </w:r>
            <w:r w:rsidRPr="001704AD">
              <w:rPr>
                <w:rFonts w:ascii="Calibri" w:hAnsi="Calibri"/>
                <w:sz w:val="24"/>
                <w:vertAlign w:val="superscript"/>
              </w:rPr>
              <w:t>th</w:t>
            </w:r>
            <w:r>
              <w:rPr>
                <w:rFonts w:ascii="Calibri" w:hAnsi="Calibri"/>
                <w:sz w:val="24"/>
              </w:rPr>
              <w:t>, 2017 for all of SIM and TOT programs.</w:t>
            </w:r>
          </w:p>
        </w:tc>
      </w:tr>
      <w:tr w:rsidR="005B4DCD" w:rsidRPr="007A6482" w:rsidTr="003E46D3">
        <w:tc>
          <w:tcPr>
            <w:tcW w:w="2081" w:type="dxa"/>
          </w:tcPr>
          <w:p w:rsidR="005B4DCD" w:rsidRPr="007A6482" w:rsidRDefault="007A6482" w:rsidP="003B0DDA">
            <w:pPr>
              <w:jc w:val="left"/>
              <w:rPr>
                <w:rFonts w:ascii="Calibri" w:hAnsi="Calibri"/>
                <w:sz w:val="24"/>
              </w:rPr>
            </w:pPr>
            <w:r w:rsidRPr="007A6482">
              <w:rPr>
                <w:rFonts w:ascii="Calibri" w:hAnsi="Calibri" w:hint="eastAsia"/>
                <w:sz w:val="24"/>
              </w:rPr>
              <w:t>Payment method</w:t>
            </w:r>
            <w:r w:rsidR="00277EE9">
              <w:rPr>
                <w:rStyle w:val="FootnoteReference"/>
                <w:rFonts w:ascii="Calibri" w:hAnsi="Calibri"/>
                <w:sz w:val="24"/>
              </w:rPr>
              <w:footnoteReference w:id="1"/>
            </w:r>
          </w:p>
        </w:tc>
        <w:tc>
          <w:tcPr>
            <w:tcW w:w="6935" w:type="dxa"/>
            <w:gridSpan w:val="2"/>
          </w:tcPr>
          <w:p w:rsidR="00695659" w:rsidRDefault="00695659" w:rsidP="00695659">
            <w:pPr>
              <w:rPr>
                <w:rFonts w:ascii="Calibri" w:hAnsi="Calibri"/>
                <w:sz w:val="24"/>
              </w:rPr>
            </w:pPr>
            <w:r>
              <w:rPr>
                <w:rFonts w:ascii="Calibri" w:hAnsi="Calibri"/>
                <w:sz w:val="24"/>
              </w:rPr>
              <w:t xml:space="preserve">Payment can be made via credit card or international wire transfer.  </w:t>
            </w:r>
          </w:p>
          <w:p w:rsidR="00695659" w:rsidRDefault="00695659" w:rsidP="00695659">
            <w:pPr>
              <w:pStyle w:val="ListParagraph"/>
              <w:numPr>
                <w:ilvl w:val="0"/>
                <w:numId w:val="6"/>
              </w:numPr>
              <w:ind w:leftChars="0"/>
              <w:rPr>
                <w:rFonts w:ascii="Calibri" w:hAnsi="Calibri"/>
                <w:sz w:val="24"/>
              </w:rPr>
            </w:pPr>
            <w:r w:rsidRPr="00A511B8">
              <w:rPr>
                <w:rFonts w:ascii="Calibri" w:hAnsi="Calibri"/>
                <w:sz w:val="24"/>
              </w:rPr>
              <w:t xml:space="preserve">A $500 non-refundable deposit is due with the application.  </w:t>
            </w:r>
          </w:p>
          <w:p w:rsidR="005B4DCD" w:rsidRPr="00695659" w:rsidRDefault="00695659" w:rsidP="00695659">
            <w:pPr>
              <w:pStyle w:val="ListParagraph"/>
              <w:numPr>
                <w:ilvl w:val="0"/>
                <w:numId w:val="6"/>
              </w:numPr>
              <w:ind w:leftChars="0"/>
              <w:jc w:val="left"/>
              <w:rPr>
                <w:rFonts w:ascii="Calibri" w:hAnsi="Calibri"/>
                <w:sz w:val="24"/>
              </w:rPr>
            </w:pPr>
            <w:r w:rsidRPr="00695659">
              <w:rPr>
                <w:rFonts w:ascii="Calibri" w:hAnsi="Calibri"/>
                <w:sz w:val="24"/>
              </w:rPr>
              <w:t>The remaining balance is due at least 30 days prior to the program start date.</w:t>
            </w:r>
          </w:p>
        </w:tc>
      </w:tr>
      <w:tr w:rsidR="00ED2AB0" w:rsidRPr="007A6482" w:rsidTr="003E46D3">
        <w:tc>
          <w:tcPr>
            <w:tcW w:w="2081" w:type="dxa"/>
          </w:tcPr>
          <w:p w:rsidR="00ED2AB0" w:rsidRPr="007A6482" w:rsidRDefault="00ED2AB0" w:rsidP="003B0DDA">
            <w:pPr>
              <w:jc w:val="left"/>
              <w:rPr>
                <w:rFonts w:ascii="Calibri" w:hAnsi="Calibri"/>
                <w:sz w:val="24"/>
              </w:rPr>
            </w:pPr>
            <w:r w:rsidRPr="007A6482">
              <w:rPr>
                <w:rFonts w:ascii="Calibri" w:hAnsi="Calibri" w:hint="eastAsia"/>
                <w:sz w:val="24"/>
              </w:rPr>
              <w:t>Remarks</w:t>
            </w:r>
          </w:p>
        </w:tc>
        <w:tc>
          <w:tcPr>
            <w:tcW w:w="6935" w:type="dxa"/>
            <w:gridSpan w:val="2"/>
          </w:tcPr>
          <w:p w:rsidR="00ED2AB0" w:rsidRDefault="00695659" w:rsidP="00695659">
            <w:pPr>
              <w:rPr>
                <w:rFonts w:ascii="Calibri" w:hAnsi="Calibri"/>
                <w:sz w:val="24"/>
              </w:rPr>
            </w:pPr>
            <w:r>
              <w:rPr>
                <w:rFonts w:ascii="Calibri" w:hAnsi="Calibri"/>
                <w:sz w:val="24"/>
              </w:rPr>
              <w:t>Students who complete the Winter in Maryland Program will earn two (2) Towson University transfer credits.  As a result, the F-1 student visa is required.  However, if students choose not to study for credit, they can apply Taste of Towson Program which is non-credit program. The health insurance plan provides coverage for all of students in SIM &amp; TOT program.</w:t>
            </w:r>
          </w:p>
          <w:p w:rsidR="00106218" w:rsidRDefault="00106218" w:rsidP="00695659">
            <w:pPr>
              <w:rPr>
                <w:rFonts w:ascii="Calibri" w:hAnsi="Calibri"/>
                <w:sz w:val="24"/>
              </w:rPr>
            </w:pPr>
          </w:p>
          <w:p w:rsidR="00CD1BE4" w:rsidRDefault="00CD1BE4" w:rsidP="00CD1BE4">
            <w:pPr>
              <w:widowControl/>
              <w:wordWrap/>
              <w:autoSpaceDE/>
              <w:autoSpaceDN/>
              <w:ind w:right="200"/>
              <w:contextualSpacing/>
              <w:jc w:val="left"/>
              <w:rPr>
                <w:rFonts w:ascii="Calibri" w:hAnsi="Calibri"/>
                <w:sz w:val="24"/>
              </w:rPr>
            </w:pPr>
            <w:r>
              <w:rPr>
                <w:rFonts w:ascii="Calibri" w:hAnsi="Calibri"/>
                <w:sz w:val="24"/>
              </w:rPr>
              <w:t>Students must complete the TU Pre-Arrival Health Immunization Form, documenting they have received the following immunizations:</w:t>
            </w:r>
          </w:p>
          <w:p w:rsidR="00CD1BE4" w:rsidRDefault="00CD1BE4" w:rsidP="00CD1BE4">
            <w:pPr>
              <w:pStyle w:val="ListParagraph"/>
              <w:widowControl/>
              <w:numPr>
                <w:ilvl w:val="0"/>
                <w:numId w:val="8"/>
              </w:numPr>
              <w:wordWrap/>
              <w:autoSpaceDE/>
              <w:autoSpaceDN/>
              <w:ind w:leftChars="0" w:right="200"/>
              <w:contextualSpacing/>
              <w:jc w:val="left"/>
              <w:rPr>
                <w:rFonts w:ascii="Calibri" w:hAnsi="Calibri"/>
                <w:sz w:val="24"/>
              </w:rPr>
            </w:pPr>
            <w:r>
              <w:rPr>
                <w:rFonts w:ascii="Calibri" w:hAnsi="Calibri"/>
                <w:sz w:val="24"/>
              </w:rPr>
              <w:lastRenderedPageBreak/>
              <w:t>Tetanus, Diphtheria, and Pertussis (</w:t>
            </w:r>
            <w:proofErr w:type="spellStart"/>
            <w:r>
              <w:rPr>
                <w:rFonts w:ascii="Calibri" w:hAnsi="Calibri"/>
                <w:sz w:val="24"/>
              </w:rPr>
              <w:t>Tdap</w:t>
            </w:r>
            <w:proofErr w:type="spellEnd"/>
            <w:r>
              <w:rPr>
                <w:rFonts w:ascii="Calibri" w:hAnsi="Calibri"/>
                <w:sz w:val="24"/>
              </w:rPr>
              <w:t xml:space="preserve">) </w:t>
            </w:r>
          </w:p>
          <w:p w:rsidR="00CD1BE4" w:rsidRPr="000F0F0E" w:rsidRDefault="00CD1BE4" w:rsidP="00CD1BE4">
            <w:pPr>
              <w:pStyle w:val="ListParagraph"/>
              <w:widowControl/>
              <w:wordWrap/>
              <w:autoSpaceDE/>
              <w:autoSpaceDN/>
              <w:ind w:leftChars="0" w:left="720" w:right="200"/>
              <w:contextualSpacing/>
              <w:jc w:val="left"/>
              <w:rPr>
                <w:rFonts w:ascii="Calibri" w:hAnsi="Calibri"/>
                <w:sz w:val="24"/>
              </w:rPr>
            </w:pPr>
            <w:r>
              <w:rPr>
                <w:rFonts w:ascii="Calibri" w:hAnsi="Calibri"/>
                <w:sz w:val="24"/>
              </w:rPr>
              <w:t xml:space="preserve">Note: </w:t>
            </w:r>
            <w:proofErr w:type="spellStart"/>
            <w:r>
              <w:rPr>
                <w:rFonts w:ascii="Calibri" w:hAnsi="Calibri"/>
                <w:sz w:val="24"/>
              </w:rPr>
              <w:t>Tdap</w:t>
            </w:r>
            <w:proofErr w:type="spellEnd"/>
            <w:r>
              <w:rPr>
                <w:rFonts w:ascii="Calibri" w:hAnsi="Calibri"/>
                <w:sz w:val="24"/>
              </w:rPr>
              <w:t xml:space="preserve"> must have been administered after May 2005 and within the last 10 years.</w:t>
            </w:r>
          </w:p>
          <w:p w:rsidR="00CD1BE4" w:rsidRDefault="00CD1BE4" w:rsidP="00CD1BE4">
            <w:pPr>
              <w:pStyle w:val="ListParagraph"/>
              <w:widowControl/>
              <w:numPr>
                <w:ilvl w:val="0"/>
                <w:numId w:val="7"/>
              </w:numPr>
              <w:wordWrap/>
              <w:autoSpaceDE/>
              <w:autoSpaceDN/>
              <w:ind w:leftChars="0" w:right="200"/>
              <w:contextualSpacing/>
              <w:jc w:val="left"/>
              <w:rPr>
                <w:rFonts w:ascii="Calibri" w:hAnsi="Calibri"/>
                <w:sz w:val="24"/>
              </w:rPr>
            </w:pPr>
            <w:r>
              <w:rPr>
                <w:rFonts w:ascii="Calibri" w:hAnsi="Calibri"/>
                <w:sz w:val="24"/>
              </w:rPr>
              <w:t>Measles, Mumps &amp; Rubella (MMR) – two doses</w:t>
            </w:r>
          </w:p>
          <w:p w:rsidR="00CD1BE4" w:rsidRDefault="00CD1BE4" w:rsidP="00CD1BE4">
            <w:pPr>
              <w:pStyle w:val="ListParagraph"/>
              <w:widowControl/>
              <w:wordWrap/>
              <w:autoSpaceDE/>
              <w:autoSpaceDN/>
              <w:ind w:leftChars="0" w:left="720" w:right="200"/>
              <w:contextualSpacing/>
              <w:jc w:val="left"/>
              <w:rPr>
                <w:rFonts w:ascii="Calibri" w:hAnsi="Calibri"/>
                <w:sz w:val="24"/>
              </w:rPr>
            </w:pPr>
            <w:r w:rsidRPr="00F520DB">
              <w:rPr>
                <w:rFonts w:ascii="Calibri" w:hAnsi="Calibri"/>
                <w:sz w:val="24"/>
              </w:rPr>
              <w:t xml:space="preserve">Note: </w:t>
            </w:r>
            <w:r>
              <w:rPr>
                <w:rFonts w:ascii="Calibri" w:hAnsi="Calibri"/>
                <w:sz w:val="24"/>
              </w:rPr>
              <w:t>The first dose of MMR must have been administered after the applicant’s first birthday.  The second dose must have been administered at least 30 days after the first. (Most children receive their second dose at around 4 or 5 years of age.)</w:t>
            </w:r>
          </w:p>
          <w:p w:rsidR="00CD1BE4" w:rsidRDefault="00CD1BE4" w:rsidP="00CD1BE4">
            <w:pPr>
              <w:widowControl/>
              <w:wordWrap/>
              <w:autoSpaceDE/>
              <w:autoSpaceDN/>
              <w:ind w:right="200"/>
              <w:contextualSpacing/>
              <w:jc w:val="left"/>
              <w:rPr>
                <w:rFonts w:ascii="Calibri" w:hAnsi="Calibri"/>
                <w:sz w:val="24"/>
              </w:rPr>
            </w:pPr>
          </w:p>
          <w:p w:rsidR="00CD1BE4" w:rsidRDefault="00CD1BE4" w:rsidP="00CD1BE4">
            <w:pPr>
              <w:widowControl/>
              <w:wordWrap/>
              <w:autoSpaceDE/>
              <w:autoSpaceDN/>
              <w:ind w:right="200"/>
              <w:contextualSpacing/>
              <w:jc w:val="left"/>
              <w:rPr>
                <w:rFonts w:ascii="Calibri" w:hAnsi="Calibri"/>
                <w:sz w:val="24"/>
              </w:rPr>
            </w:pPr>
            <w:r w:rsidRPr="00F520DB">
              <w:rPr>
                <w:rFonts w:ascii="Calibri" w:hAnsi="Calibri"/>
                <w:sz w:val="24"/>
              </w:rPr>
              <w:t>Failure to provide evidence of immunizations</w:t>
            </w:r>
            <w:r>
              <w:rPr>
                <w:rFonts w:ascii="Calibri" w:hAnsi="Calibri"/>
                <w:sz w:val="24"/>
              </w:rPr>
              <w:t xml:space="preserve"> </w:t>
            </w:r>
            <w:r w:rsidRPr="00F520DB">
              <w:rPr>
                <w:rFonts w:ascii="Calibri" w:hAnsi="Calibri"/>
                <w:sz w:val="24"/>
              </w:rPr>
              <w:t>will necessitate testing and immunizations on campus, which carries additional cost (not included in program fee).</w:t>
            </w:r>
            <w:r>
              <w:rPr>
                <w:rFonts w:ascii="Calibri" w:hAnsi="Calibri"/>
                <w:sz w:val="24"/>
              </w:rPr>
              <w:t xml:space="preserve"> </w:t>
            </w:r>
          </w:p>
          <w:p w:rsidR="00CD1BE4" w:rsidRDefault="00CD1BE4" w:rsidP="00CD1BE4">
            <w:pPr>
              <w:jc w:val="left"/>
              <w:rPr>
                <w:rFonts w:ascii="Calibri" w:hAnsi="Calibri"/>
                <w:sz w:val="24"/>
              </w:rPr>
            </w:pPr>
          </w:p>
          <w:p w:rsidR="00CD1BE4" w:rsidRDefault="00CD1BE4" w:rsidP="00CD1BE4">
            <w:pPr>
              <w:jc w:val="left"/>
              <w:rPr>
                <w:rFonts w:ascii="Calibri" w:hAnsi="Calibri"/>
                <w:sz w:val="24"/>
              </w:rPr>
            </w:pPr>
            <w:r>
              <w:rPr>
                <w:rFonts w:ascii="Calibri" w:hAnsi="Calibri"/>
                <w:sz w:val="24"/>
              </w:rPr>
              <w:t xml:space="preserve">Please visit our Facebook page at </w:t>
            </w:r>
            <w:hyperlink r:id="rId11" w:history="1">
              <w:r w:rsidRPr="00FB0996">
                <w:rPr>
                  <w:rStyle w:val="Hyperlink"/>
                  <w:rFonts w:ascii="Calibri" w:hAnsi="Calibri"/>
                  <w:sz w:val="24"/>
                </w:rPr>
                <w:t>www.facebook.com/TowsonSIM</w:t>
              </w:r>
            </w:hyperlink>
            <w:r>
              <w:rPr>
                <w:rFonts w:ascii="Calibri" w:hAnsi="Calibri"/>
                <w:sz w:val="24"/>
              </w:rPr>
              <w:t xml:space="preserve"> for pictures from our month-long programs this past February and July</w:t>
            </w:r>
            <w:r w:rsidR="00106218">
              <w:rPr>
                <w:rFonts w:ascii="Calibri" w:hAnsi="Calibri"/>
                <w:sz w:val="24"/>
              </w:rPr>
              <w:t xml:space="preserve">. </w:t>
            </w:r>
            <w:r>
              <w:rPr>
                <w:rFonts w:ascii="Calibri" w:hAnsi="Calibri"/>
                <w:sz w:val="24"/>
              </w:rPr>
              <w:t xml:space="preserve">We also have a separate Facebook page for each program, where information will be disseminated and students will be able to meet each other in advance.  </w:t>
            </w:r>
          </w:p>
          <w:p w:rsidR="00CD1BE4" w:rsidRDefault="00CD1BE4" w:rsidP="00CD1BE4">
            <w:pPr>
              <w:jc w:val="left"/>
              <w:rPr>
                <w:rFonts w:ascii="Calibri" w:hAnsi="Calibri"/>
                <w:sz w:val="24"/>
              </w:rPr>
            </w:pPr>
          </w:p>
          <w:p w:rsidR="00CD1BE4" w:rsidRDefault="00CD1BE4" w:rsidP="00CD1BE4">
            <w:pPr>
              <w:jc w:val="left"/>
              <w:rPr>
                <w:rFonts w:ascii="Calibri" w:hAnsi="Calibri"/>
                <w:sz w:val="24"/>
              </w:rPr>
            </w:pPr>
            <w:r>
              <w:rPr>
                <w:rFonts w:ascii="Calibri" w:hAnsi="Calibri"/>
                <w:sz w:val="24"/>
              </w:rPr>
              <w:t>The 201</w:t>
            </w:r>
            <w:r w:rsidR="00106218">
              <w:rPr>
                <w:rFonts w:ascii="Calibri" w:hAnsi="Calibri"/>
                <w:sz w:val="24"/>
              </w:rPr>
              <w:t>8</w:t>
            </w:r>
            <w:r>
              <w:rPr>
                <w:rFonts w:ascii="Calibri" w:hAnsi="Calibri"/>
                <w:sz w:val="24"/>
              </w:rPr>
              <w:t xml:space="preserve"> </w:t>
            </w:r>
            <w:r w:rsidR="00106218">
              <w:rPr>
                <w:rFonts w:ascii="Calibri" w:hAnsi="Calibri"/>
                <w:sz w:val="24"/>
              </w:rPr>
              <w:t>Winter</w:t>
            </w:r>
            <w:r>
              <w:rPr>
                <w:rFonts w:ascii="Calibri" w:hAnsi="Calibri"/>
                <w:sz w:val="24"/>
              </w:rPr>
              <w:t xml:space="preserve"> in Maryland and Taste of Towson Program tentative schedules are available upon request.  Please email us at </w:t>
            </w:r>
            <w:hyperlink r:id="rId12" w:history="1">
              <w:r w:rsidRPr="003836AD">
                <w:rPr>
                  <w:rStyle w:val="Hyperlink"/>
                  <w:rFonts w:ascii="Calibri" w:hAnsi="Calibri"/>
                  <w:sz w:val="24"/>
                </w:rPr>
                <w:t>sip@towson.edu</w:t>
              </w:r>
            </w:hyperlink>
            <w:r>
              <w:rPr>
                <w:rFonts w:ascii="Calibri" w:hAnsi="Calibri"/>
                <w:sz w:val="24"/>
              </w:rPr>
              <w:t xml:space="preserve">.  Note that transportation is included for all </w:t>
            </w:r>
            <w:r w:rsidR="00106218">
              <w:rPr>
                <w:rFonts w:ascii="Calibri" w:hAnsi="Calibri"/>
                <w:sz w:val="24"/>
              </w:rPr>
              <w:t xml:space="preserve">weekend </w:t>
            </w:r>
            <w:r>
              <w:rPr>
                <w:rFonts w:ascii="Calibri" w:hAnsi="Calibri"/>
                <w:sz w:val="24"/>
              </w:rPr>
              <w:t>trips</w:t>
            </w:r>
            <w:r w:rsidR="00106218">
              <w:rPr>
                <w:rFonts w:ascii="Calibri" w:hAnsi="Calibri"/>
                <w:sz w:val="24"/>
              </w:rPr>
              <w:t xml:space="preserve"> (Sunday)</w:t>
            </w:r>
            <w:r>
              <w:rPr>
                <w:rFonts w:ascii="Calibri" w:hAnsi="Calibri"/>
                <w:sz w:val="24"/>
              </w:rPr>
              <w:t>; additionally accommodation is included throughout the duration of the program (when off and on campus).</w:t>
            </w:r>
          </w:p>
          <w:p w:rsidR="009D2CDF" w:rsidRDefault="009D2CDF" w:rsidP="00CD1BE4">
            <w:pPr>
              <w:jc w:val="left"/>
              <w:rPr>
                <w:rFonts w:ascii="Calibri" w:hAnsi="Calibri"/>
                <w:sz w:val="24"/>
              </w:rPr>
            </w:pPr>
          </w:p>
          <w:p w:rsidR="009D2CDF" w:rsidRPr="009D2CDF" w:rsidRDefault="009D2CDF" w:rsidP="009D2CDF">
            <w:pPr>
              <w:jc w:val="left"/>
              <w:rPr>
                <w:rFonts w:ascii="Calibri" w:hAnsi="Calibri"/>
                <w:sz w:val="24"/>
              </w:rPr>
            </w:pPr>
            <w:r w:rsidRPr="009D2CDF">
              <w:rPr>
                <w:rFonts w:ascii="Calibri" w:hAnsi="Calibri"/>
                <w:sz w:val="24"/>
              </w:rPr>
              <w:t>Accommodation on campus during the WIM/TOT programs is at the Tow</w:t>
            </w:r>
            <w:r>
              <w:rPr>
                <w:rFonts w:ascii="Calibri" w:hAnsi="Calibri"/>
                <w:sz w:val="24"/>
              </w:rPr>
              <w:t xml:space="preserve">son University Marriott Hotel. </w:t>
            </w:r>
            <w:r w:rsidRPr="009D2CDF">
              <w:rPr>
                <w:rFonts w:ascii="Calibri" w:hAnsi="Calibri"/>
                <w:sz w:val="24"/>
              </w:rPr>
              <w:t xml:space="preserve">Suites are </w:t>
            </w:r>
            <w:r>
              <w:rPr>
                <w:rFonts w:ascii="Calibri" w:hAnsi="Calibri"/>
                <w:sz w:val="24"/>
              </w:rPr>
              <w:t xml:space="preserve">shared by a maximum 4 persons. </w:t>
            </w:r>
            <w:r w:rsidRPr="009D2CDF">
              <w:rPr>
                <w:rFonts w:ascii="Calibri" w:hAnsi="Calibri"/>
                <w:sz w:val="24"/>
              </w:rPr>
              <w:t>All suites have kitchens, dining area, complementary WIFI internet, access to washer</w:t>
            </w:r>
            <w:r>
              <w:rPr>
                <w:rFonts w:ascii="Calibri" w:hAnsi="Calibri"/>
                <w:sz w:val="24"/>
              </w:rPr>
              <w:t xml:space="preserve">/dryers, fitness centers, etc. </w:t>
            </w:r>
            <w:r w:rsidRPr="009D2CDF">
              <w:rPr>
                <w:rFonts w:ascii="Calibri" w:hAnsi="Calibri"/>
                <w:sz w:val="24"/>
              </w:rPr>
              <w:t>Housing is conveniently located on the TU campus, and is within walking distance of downtown Towson (mall, movi</w:t>
            </w:r>
            <w:r>
              <w:rPr>
                <w:rFonts w:ascii="Calibri" w:hAnsi="Calibri"/>
                <w:sz w:val="24"/>
              </w:rPr>
              <w:t>e theater, restaurants, etc.).</w:t>
            </w:r>
          </w:p>
          <w:p w:rsidR="00CD1BE4" w:rsidRDefault="009D2CDF" w:rsidP="00CD1BE4">
            <w:pPr>
              <w:jc w:val="left"/>
              <w:rPr>
                <w:rFonts w:ascii="Calibri" w:hAnsi="Calibri"/>
                <w:sz w:val="24"/>
              </w:rPr>
            </w:pPr>
            <w:r w:rsidRPr="009D2CDF">
              <w:rPr>
                <w:rFonts w:ascii="Calibri" w:hAnsi="Calibri"/>
                <w:sz w:val="24"/>
              </w:rPr>
              <w:t xml:space="preserve">Note: participants who do not wish to share a room may pay an additional fee of $850 for a private room (in a two-bedroom suite) for the month, availability permitting.  </w:t>
            </w:r>
          </w:p>
          <w:p w:rsidR="009D2CDF" w:rsidRDefault="009D2CDF" w:rsidP="00CD1BE4">
            <w:pPr>
              <w:jc w:val="left"/>
              <w:rPr>
                <w:rFonts w:ascii="Calibri" w:hAnsi="Calibri"/>
                <w:sz w:val="24"/>
              </w:rPr>
            </w:pPr>
          </w:p>
          <w:p w:rsidR="00CD1BE4" w:rsidRDefault="00CD1BE4" w:rsidP="00CD1BE4">
            <w:pPr>
              <w:jc w:val="left"/>
              <w:rPr>
                <w:rFonts w:ascii="Calibri" w:hAnsi="Calibri"/>
                <w:sz w:val="24"/>
              </w:rPr>
            </w:pPr>
            <w:r>
              <w:rPr>
                <w:rFonts w:ascii="Calibri" w:hAnsi="Calibri"/>
                <w:sz w:val="24"/>
              </w:rPr>
              <w:t>Also included in program cost is access to all Towson University resources and TU student events, including the TU library, TU fitness center, use of athletic equipmen</w:t>
            </w:r>
            <w:r w:rsidR="005B0759">
              <w:rPr>
                <w:rFonts w:ascii="Calibri" w:hAnsi="Calibri"/>
                <w:sz w:val="24"/>
              </w:rPr>
              <w:t>t, DVD</w:t>
            </w:r>
            <w:r>
              <w:rPr>
                <w:rFonts w:ascii="Calibri" w:hAnsi="Calibri"/>
                <w:sz w:val="24"/>
              </w:rPr>
              <w:t xml:space="preserve"> rental store, on and off-campus shuttles, and admission to TU athletic events.  </w:t>
            </w:r>
          </w:p>
          <w:p w:rsidR="00CD1BE4" w:rsidRDefault="00CD1BE4" w:rsidP="00CD1BE4">
            <w:pPr>
              <w:jc w:val="left"/>
              <w:rPr>
                <w:rFonts w:ascii="Calibri" w:hAnsi="Calibri"/>
                <w:sz w:val="24"/>
              </w:rPr>
            </w:pPr>
          </w:p>
          <w:p w:rsidR="00CD1BE4" w:rsidRDefault="00CD1BE4" w:rsidP="00CD1BE4">
            <w:pPr>
              <w:jc w:val="left"/>
              <w:rPr>
                <w:rFonts w:ascii="Calibri" w:hAnsi="Calibri"/>
                <w:sz w:val="24"/>
              </w:rPr>
            </w:pPr>
            <w:r>
              <w:rPr>
                <w:rFonts w:ascii="Calibri" w:hAnsi="Calibri"/>
                <w:sz w:val="24"/>
              </w:rPr>
              <w:t>Trips will included Baltimore City, Washington D.C., Philadelphia, and New York City.</w:t>
            </w:r>
            <w:r w:rsidR="00E327AA">
              <w:rPr>
                <w:rFonts w:ascii="Calibri" w:hAnsi="Calibri"/>
                <w:sz w:val="24"/>
              </w:rPr>
              <w:t xml:space="preserve"> (It subjects to change)  </w:t>
            </w:r>
          </w:p>
          <w:p w:rsidR="00CD1BE4" w:rsidRDefault="00CD1BE4" w:rsidP="00CD1BE4">
            <w:pPr>
              <w:jc w:val="left"/>
              <w:rPr>
                <w:rFonts w:ascii="Calibri" w:hAnsi="Calibri"/>
                <w:sz w:val="24"/>
              </w:rPr>
            </w:pPr>
            <w:r>
              <w:rPr>
                <w:rFonts w:ascii="Calibri" w:hAnsi="Calibri"/>
                <w:sz w:val="24"/>
              </w:rPr>
              <w:t xml:space="preserve"> </w:t>
            </w:r>
          </w:p>
          <w:p w:rsidR="00CD1BE4" w:rsidRDefault="00CD1BE4" w:rsidP="00CD1BE4">
            <w:pPr>
              <w:rPr>
                <w:rFonts w:ascii="Calibri" w:hAnsi="Calibri"/>
                <w:sz w:val="24"/>
              </w:rPr>
            </w:pPr>
            <w:r>
              <w:rPr>
                <w:rFonts w:ascii="Calibri" w:hAnsi="Calibri"/>
                <w:sz w:val="24"/>
              </w:rPr>
              <w:t xml:space="preserve">Note: short-term program participants at Towson University are </w:t>
            </w:r>
            <w:r w:rsidR="005B0759">
              <w:rPr>
                <w:rFonts w:ascii="Calibri" w:hAnsi="Calibri"/>
                <w:sz w:val="24"/>
              </w:rPr>
              <w:lastRenderedPageBreak/>
              <w:t xml:space="preserve">predominantly from Asia. </w:t>
            </w:r>
            <w:r>
              <w:rPr>
                <w:rFonts w:ascii="Calibri" w:hAnsi="Calibri"/>
                <w:sz w:val="24"/>
              </w:rPr>
              <w:t>Although some students in our programs hail from other nations, when in English clas</w:t>
            </w:r>
            <w:r w:rsidR="005B0759">
              <w:rPr>
                <w:rFonts w:ascii="Calibri" w:hAnsi="Calibri"/>
                <w:sz w:val="24"/>
              </w:rPr>
              <w:t xml:space="preserve">s, the majority are from Asia. </w:t>
            </w:r>
            <w:r>
              <w:rPr>
                <w:rFonts w:ascii="Calibri" w:hAnsi="Calibri"/>
                <w:sz w:val="24"/>
              </w:rPr>
              <w:t>Activities outside-the-classroom will include domestic students, local-area families, and faculty/staff.</w:t>
            </w:r>
          </w:p>
          <w:p w:rsidR="005B0759" w:rsidRDefault="005B0759" w:rsidP="00CD1BE4">
            <w:pPr>
              <w:rPr>
                <w:rFonts w:ascii="Calibri" w:hAnsi="Calibri"/>
                <w:sz w:val="24"/>
              </w:rPr>
            </w:pPr>
          </w:p>
          <w:p w:rsidR="005B0759" w:rsidRPr="007A6482" w:rsidRDefault="005B0759" w:rsidP="00CD1BE4">
            <w:pPr>
              <w:rPr>
                <w:rFonts w:ascii="Calibri" w:hAnsi="Calibri"/>
                <w:sz w:val="24"/>
              </w:rPr>
            </w:pPr>
            <w:r>
              <w:rPr>
                <w:rFonts w:ascii="Calibri" w:hAnsi="Calibri"/>
                <w:sz w:val="24"/>
              </w:rPr>
              <w:t xml:space="preserve">We suggest to book an airplane tickets from your country to JFK airport due to in terms of price and program ending location. However, If someone wants to back their home country from BWI Airport, we might provide extra night in Marriott Hotel after we come back from NYC. </w:t>
            </w:r>
          </w:p>
        </w:tc>
      </w:tr>
    </w:tbl>
    <w:p w:rsidR="0033163D" w:rsidRPr="007A6482" w:rsidRDefault="0033163D" w:rsidP="009D2CDF">
      <w:pPr>
        <w:rPr>
          <w:rFonts w:ascii="Calibri" w:hAnsi="Calibri"/>
          <w:sz w:val="24"/>
        </w:rPr>
      </w:pPr>
    </w:p>
    <w:sectPr w:rsidR="0033163D" w:rsidRPr="007A648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756" w:rsidRDefault="00E21756" w:rsidP="000944D6">
      <w:pPr>
        <w:spacing w:after="0" w:line="240" w:lineRule="auto"/>
      </w:pPr>
      <w:r>
        <w:separator/>
      </w:r>
    </w:p>
  </w:endnote>
  <w:endnote w:type="continuationSeparator" w:id="0">
    <w:p w:rsidR="00E21756" w:rsidRDefault="00E21756" w:rsidP="00094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756" w:rsidRDefault="00E21756" w:rsidP="000944D6">
      <w:pPr>
        <w:spacing w:after="0" w:line="240" w:lineRule="auto"/>
      </w:pPr>
      <w:r>
        <w:separator/>
      </w:r>
    </w:p>
  </w:footnote>
  <w:footnote w:type="continuationSeparator" w:id="0">
    <w:p w:rsidR="00E21756" w:rsidRDefault="00E21756" w:rsidP="000944D6">
      <w:pPr>
        <w:spacing w:after="0" w:line="240" w:lineRule="auto"/>
      </w:pPr>
      <w:r>
        <w:continuationSeparator/>
      </w:r>
    </w:p>
  </w:footnote>
  <w:footnote w:id="1">
    <w:p w:rsidR="00277EE9" w:rsidRDefault="00277EE9">
      <w:pPr>
        <w:pStyle w:val="FootnoteText"/>
      </w:pPr>
      <w:r>
        <w:rPr>
          <w:rStyle w:val="FootnoteReference"/>
        </w:rPr>
        <w:footnoteRef/>
      </w:r>
      <w:r>
        <w:t xml:space="preserve"> </w:t>
      </w:r>
      <w:r>
        <w:rPr>
          <w:rStyle w:val="FootnoteReference"/>
        </w:rPr>
        <w:footnoteRef/>
      </w:r>
      <w:r>
        <w:t xml:space="preserve"> Payment currently can be made via credit card or international wire transfer. Towson University is in the process of working with </w:t>
      </w:r>
      <w:proofErr w:type="spellStart"/>
      <w:r>
        <w:t>FlyWire</w:t>
      </w:r>
      <w:proofErr w:type="spellEnd"/>
      <w:r>
        <w:t xml:space="preserve"> (</w:t>
      </w:r>
      <w:hyperlink r:id="rId1" w:history="1">
        <w:r w:rsidRPr="00FB5230">
          <w:rPr>
            <w:rStyle w:val="Hyperlink"/>
          </w:rPr>
          <w:t>www.flywire.com</w:t>
        </w:r>
      </w:hyperlink>
      <w:r>
        <w:t>) for payments, and will send notification as soon as it active.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C15F9"/>
    <w:multiLevelType w:val="hybridMultilevel"/>
    <w:tmpl w:val="6264F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84CEB"/>
    <w:multiLevelType w:val="hybridMultilevel"/>
    <w:tmpl w:val="0BDC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01351E"/>
    <w:multiLevelType w:val="hybridMultilevel"/>
    <w:tmpl w:val="D24AF79A"/>
    <w:lvl w:ilvl="0" w:tplc="E0B6675E">
      <w:start w:val="1"/>
      <w:numFmt w:val="bullet"/>
      <w:pStyle w:val="DOTBULLET"/>
      <w:lvlText w:val=""/>
      <w:lvlJc w:val="left"/>
      <w:pPr>
        <w:ind w:left="2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E68120E"/>
    <w:multiLevelType w:val="hybridMultilevel"/>
    <w:tmpl w:val="9C201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6F6E49"/>
    <w:multiLevelType w:val="hybridMultilevel"/>
    <w:tmpl w:val="3E0CCC36"/>
    <w:lvl w:ilvl="0" w:tplc="6E2C2EF0">
      <w:start w:val="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FF3ED4"/>
    <w:multiLevelType w:val="hybridMultilevel"/>
    <w:tmpl w:val="BA1076D6"/>
    <w:lvl w:ilvl="0" w:tplc="E3DAE61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559E60F7"/>
    <w:multiLevelType w:val="hybridMultilevel"/>
    <w:tmpl w:val="74763974"/>
    <w:lvl w:ilvl="0" w:tplc="63A06552">
      <w:start w:val="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5"/>
  </w:num>
  <w:num w:numId="4">
    <w:abstractNumId w:val="6"/>
  </w:num>
  <w:num w:numId="5">
    <w:abstractNumId w:val="4"/>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E93"/>
    <w:rsid w:val="000944D6"/>
    <w:rsid w:val="00106218"/>
    <w:rsid w:val="00127380"/>
    <w:rsid w:val="0016512A"/>
    <w:rsid w:val="001D5024"/>
    <w:rsid w:val="00277EE9"/>
    <w:rsid w:val="0033163D"/>
    <w:rsid w:val="003B0DDA"/>
    <w:rsid w:val="003C0DB4"/>
    <w:rsid w:val="003E46D3"/>
    <w:rsid w:val="00417492"/>
    <w:rsid w:val="00432BAA"/>
    <w:rsid w:val="005B0759"/>
    <w:rsid w:val="005B4DCD"/>
    <w:rsid w:val="005B58E0"/>
    <w:rsid w:val="005D682C"/>
    <w:rsid w:val="00611C2F"/>
    <w:rsid w:val="00695659"/>
    <w:rsid w:val="00731E21"/>
    <w:rsid w:val="007A6482"/>
    <w:rsid w:val="007C03C1"/>
    <w:rsid w:val="00947C6B"/>
    <w:rsid w:val="009D2CDF"/>
    <w:rsid w:val="00A5707C"/>
    <w:rsid w:val="00AA4E44"/>
    <w:rsid w:val="00BA7102"/>
    <w:rsid w:val="00BE4CDD"/>
    <w:rsid w:val="00CD1BE4"/>
    <w:rsid w:val="00D7780A"/>
    <w:rsid w:val="00E13055"/>
    <w:rsid w:val="00E21756"/>
    <w:rsid w:val="00E327AA"/>
    <w:rsid w:val="00EB5E5A"/>
    <w:rsid w:val="00ED2AB0"/>
    <w:rsid w:val="00F2412F"/>
    <w:rsid w:val="00F66A52"/>
    <w:rsid w:val="00F85E93"/>
    <w:rsid w:val="00FA5A0C"/>
    <w:rsid w:val="00FD7D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41F6EC"/>
  <w15:docId w15:val="{04DE8115-C01B-4F0D-8C31-F7655BACA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12F"/>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TBULLET">
    <w:name w:val="DOT BULLET"/>
    <w:basedOn w:val="ListParagraph"/>
    <w:rsid w:val="00F2412F"/>
    <w:pPr>
      <w:numPr>
        <w:numId w:val="2"/>
      </w:numPr>
      <w:spacing w:after="0"/>
      <w:ind w:leftChars="0" w:left="0" w:rightChars="100" w:right="100"/>
    </w:pPr>
    <w:rPr>
      <w:rFonts w:ascii="Courier New" w:hAnsi="Courier New" w:cs="Courier New"/>
    </w:rPr>
  </w:style>
  <w:style w:type="paragraph" w:styleId="ListParagraph">
    <w:name w:val="List Paragraph"/>
    <w:basedOn w:val="Normal"/>
    <w:uiPriority w:val="34"/>
    <w:qFormat/>
    <w:rsid w:val="00F2412F"/>
    <w:pPr>
      <w:ind w:leftChars="400" w:left="800"/>
    </w:pPr>
  </w:style>
  <w:style w:type="table" w:styleId="TableGrid">
    <w:name w:val="Table Grid"/>
    <w:basedOn w:val="TableNormal"/>
    <w:uiPriority w:val="59"/>
    <w:rsid w:val="00127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44D6"/>
    <w:pPr>
      <w:tabs>
        <w:tab w:val="center" w:pos="4513"/>
        <w:tab w:val="right" w:pos="9026"/>
      </w:tabs>
      <w:snapToGrid w:val="0"/>
    </w:pPr>
  </w:style>
  <w:style w:type="character" w:customStyle="1" w:styleId="HeaderChar">
    <w:name w:val="Header Char"/>
    <w:basedOn w:val="DefaultParagraphFont"/>
    <w:link w:val="Header"/>
    <w:uiPriority w:val="99"/>
    <w:rsid w:val="000944D6"/>
  </w:style>
  <w:style w:type="paragraph" w:styleId="Footer">
    <w:name w:val="footer"/>
    <w:basedOn w:val="Normal"/>
    <w:link w:val="FooterChar"/>
    <w:uiPriority w:val="99"/>
    <w:unhideWhenUsed/>
    <w:rsid w:val="000944D6"/>
    <w:pPr>
      <w:tabs>
        <w:tab w:val="center" w:pos="4513"/>
        <w:tab w:val="right" w:pos="9026"/>
      </w:tabs>
      <w:snapToGrid w:val="0"/>
    </w:pPr>
  </w:style>
  <w:style w:type="character" w:customStyle="1" w:styleId="FooterChar">
    <w:name w:val="Footer Char"/>
    <w:basedOn w:val="DefaultParagraphFont"/>
    <w:link w:val="Footer"/>
    <w:uiPriority w:val="99"/>
    <w:rsid w:val="000944D6"/>
  </w:style>
  <w:style w:type="character" w:styleId="Hyperlink">
    <w:name w:val="Hyperlink"/>
    <w:basedOn w:val="DefaultParagraphFont"/>
    <w:uiPriority w:val="99"/>
    <w:unhideWhenUsed/>
    <w:rsid w:val="00432BAA"/>
    <w:rPr>
      <w:color w:val="0000FF" w:themeColor="hyperlink"/>
      <w:u w:val="single"/>
    </w:rPr>
  </w:style>
  <w:style w:type="character" w:styleId="CommentReference">
    <w:name w:val="annotation reference"/>
    <w:basedOn w:val="DefaultParagraphFont"/>
    <w:uiPriority w:val="99"/>
    <w:semiHidden/>
    <w:unhideWhenUsed/>
    <w:rsid w:val="00277EE9"/>
    <w:rPr>
      <w:sz w:val="16"/>
      <w:szCs w:val="16"/>
    </w:rPr>
  </w:style>
  <w:style w:type="paragraph" w:styleId="CommentText">
    <w:name w:val="annotation text"/>
    <w:basedOn w:val="Normal"/>
    <w:link w:val="CommentTextChar"/>
    <w:uiPriority w:val="99"/>
    <w:semiHidden/>
    <w:unhideWhenUsed/>
    <w:rsid w:val="00277EE9"/>
    <w:pPr>
      <w:spacing w:line="240" w:lineRule="auto"/>
    </w:pPr>
    <w:rPr>
      <w:szCs w:val="20"/>
    </w:rPr>
  </w:style>
  <w:style w:type="character" w:customStyle="1" w:styleId="CommentTextChar">
    <w:name w:val="Comment Text Char"/>
    <w:basedOn w:val="DefaultParagraphFont"/>
    <w:link w:val="CommentText"/>
    <w:uiPriority w:val="99"/>
    <w:semiHidden/>
    <w:rsid w:val="00277EE9"/>
    <w:rPr>
      <w:szCs w:val="20"/>
    </w:rPr>
  </w:style>
  <w:style w:type="paragraph" w:styleId="CommentSubject">
    <w:name w:val="annotation subject"/>
    <w:basedOn w:val="CommentText"/>
    <w:next w:val="CommentText"/>
    <w:link w:val="CommentSubjectChar"/>
    <w:uiPriority w:val="99"/>
    <w:semiHidden/>
    <w:unhideWhenUsed/>
    <w:rsid w:val="00277EE9"/>
    <w:rPr>
      <w:b/>
      <w:bCs/>
    </w:rPr>
  </w:style>
  <w:style w:type="character" w:customStyle="1" w:styleId="CommentSubjectChar">
    <w:name w:val="Comment Subject Char"/>
    <w:basedOn w:val="CommentTextChar"/>
    <w:link w:val="CommentSubject"/>
    <w:uiPriority w:val="99"/>
    <w:semiHidden/>
    <w:rsid w:val="00277EE9"/>
    <w:rPr>
      <w:b/>
      <w:bCs/>
      <w:szCs w:val="20"/>
    </w:rPr>
  </w:style>
  <w:style w:type="paragraph" w:styleId="BalloonText">
    <w:name w:val="Balloon Text"/>
    <w:basedOn w:val="Normal"/>
    <w:link w:val="BalloonTextChar"/>
    <w:uiPriority w:val="99"/>
    <w:semiHidden/>
    <w:unhideWhenUsed/>
    <w:rsid w:val="00277E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EE9"/>
    <w:rPr>
      <w:rFonts w:ascii="Segoe UI" w:hAnsi="Segoe UI" w:cs="Segoe UI"/>
      <w:sz w:val="18"/>
      <w:szCs w:val="18"/>
    </w:rPr>
  </w:style>
  <w:style w:type="paragraph" w:styleId="FootnoteText">
    <w:name w:val="footnote text"/>
    <w:basedOn w:val="Normal"/>
    <w:link w:val="FootnoteTextChar"/>
    <w:uiPriority w:val="99"/>
    <w:semiHidden/>
    <w:unhideWhenUsed/>
    <w:rsid w:val="00277EE9"/>
    <w:pPr>
      <w:spacing w:after="0" w:line="240" w:lineRule="auto"/>
    </w:pPr>
    <w:rPr>
      <w:szCs w:val="20"/>
    </w:rPr>
  </w:style>
  <w:style w:type="character" w:customStyle="1" w:styleId="FootnoteTextChar">
    <w:name w:val="Footnote Text Char"/>
    <w:basedOn w:val="DefaultParagraphFont"/>
    <w:link w:val="FootnoteText"/>
    <w:uiPriority w:val="99"/>
    <w:semiHidden/>
    <w:rsid w:val="00277EE9"/>
    <w:rPr>
      <w:szCs w:val="20"/>
    </w:rPr>
  </w:style>
  <w:style w:type="character" w:styleId="FootnoteReference">
    <w:name w:val="footnote reference"/>
    <w:basedOn w:val="DefaultParagraphFont"/>
    <w:uiPriority w:val="99"/>
    <w:semiHidden/>
    <w:unhideWhenUsed/>
    <w:rsid w:val="00277E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9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wson.edu/si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p@towson.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TowsonSIM" TargetMode="External"/><Relationship Id="rId5" Type="http://schemas.openxmlformats.org/officeDocument/2006/relationships/webSettings" Target="webSettings.xml"/><Relationship Id="rId10" Type="http://schemas.openxmlformats.org/officeDocument/2006/relationships/hyperlink" Target="mailto:sip@towson.edu" TargetMode="External"/><Relationship Id="rId4" Type="http://schemas.openxmlformats.org/officeDocument/2006/relationships/settings" Target="settings.xml"/><Relationship Id="rId9" Type="http://schemas.openxmlformats.org/officeDocument/2006/relationships/hyperlink" Target="http://www.towson.edu/academics/international/shortterm/summer/apply.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lywire.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75322-ED3F-4DF8-869B-57173981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1188</Words>
  <Characters>6773</Characters>
  <Application>Microsoft Office Word</Application>
  <DocSecurity>0</DocSecurity>
  <Lines>56</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SMU03</dc:creator>
  <cp:lastModifiedBy>Moon, JiHoon</cp:lastModifiedBy>
  <cp:revision>4</cp:revision>
  <dcterms:created xsi:type="dcterms:W3CDTF">2017-08-15T20:17:00Z</dcterms:created>
  <dcterms:modified xsi:type="dcterms:W3CDTF">2017-08-25T15:58:00Z</dcterms:modified>
</cp:coreProperties>
</file>